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C5" w:rsidRDefault="00334CC5" w:rsidP="00334CC5">
      <w:pPr>
        <w:rPr>
          <w:b/>
          <w:sz w:val="28"/>
          <w:szCs w:val="28"/>
        </w:rPr>
      </w:pPr>
      <w:r>
        <w:rPr>
          <w:b/>
          <w:sz w:val="28"/>
          <w:szCs w:val="28"/>
        </w:rPr>
        <w:t xml:space="preserve">Swimming Pool </w:t>
      </w:r>
      <w:r w:rsidRPr="00675DC0">
        <w:rPr>
          <w:b/>
          <w:sz w:val="28"/>
          <w:szCs w:val="28"/>
        </w:rPr>
        <w:t>Technical Advisory Committee</w:t>
      </w:r>
      <w:r>
        <w:rPr>
          <w:b/>
          <w:sz w:val="28"/>
          <w:szCs w:val="28"/>
        </w:rPr>
        <w:t xml:space="preserve"> / Electrical – Comments</w:t>
      </w:r>
    </w:p>
    <w:p w:rsidR="00334CC5" w:rsidRDefault="00334CC5" w:rsidP="00334CC5">
      <w:pPr>
        <w:rPr>
          <w:szCs w:val="22"/>
        </w:rPr>
      </w:pPr>
    </w:p>
    <w:p w:rsidR="00334CC5" w:rsidRDefault="00334CC5" w:rsidP="00334CC5">
      <w:pPr>
        <w:rPr>
          <w:szCs w:val="22"/>
        </w:rPr>
      </w:pPr>
    </w:p>
    <w:p w:rsidR="00334CC5" w:rsidRDefault="00334CC5" w:rsidP="00334CC5">
      <w:pPr>
        <w:rPr>
          <w:szCs w:val="22"/>
        </w:rPr>
      </w:pPr>
    </w:p>
    <w:p w:rsidR="00334CC5" w:rsidRPr="00B649F3" w:rsidRDefault="00334CC5" w:rsidP="00334CC5">
      <w:pPr>
        <w:rPr>
          <w:rFonts w:cs="Arial"/>
          <w:szCs w:val="22"/>
        </w:rPr>
      </w:pPr>
      <w:r w:rsidRPr="00B649F3">
        <w:rPr>
          <w:rFonts w:cs="Arial"/>
          <w:b/>
          <w:bCs/>
          <w:color w:val="FF0000"/>
          <w:sz w:val="24"/>
          <w:szCs w:val="24"/>
        </w:rPr>
        <w:t>7th Edition (2020) Florida Building Code,</w:t>
      </w:r>
      <w:r w:rsidR="00D02B7E">
        <w:rPr>
          <w:rFonts w:cs="Arial"/>
          <w:b/>
          <w:bCs/>
          <w:color w:val="FF0000"/>
          <w:sz w:val="24"/>
          <w:szCs w:val="24"/>
        </w:rPr>
        <w:t xml:space="preserve"> Building</w:t>
      </w:r>
    </w:p>
    <w:p w:rsidR="00334CC5" w:rsidRDefault="00334CC5" w:rsidP="00334CC5">
      <w:pPr>
        <w:rPr>
          <w:szCs w:val="22"/>
        </w:rPr>
      </w:pPr>
    </w:p>
    <w:p w:rsidR="00334CC5" w:rsidRDefault="00334CC5" w:rsidP="00334CC5">
      <w:pPr>
        <w:rPr>
          <w:szCs w:val="22"/>
        </w:rPr>
      </w:pPr>
    </w:p>
    <w:p w:rsidR="00334CC5" w:rsidRPr="002D2630" w:rsidRDefault="00334CC5" w:rsidP="00334CC5">
      <w:pPr>
        <w:rPr>
          <w:b/>
          <w:color w:val="FF0000"/>
          <w:szCs w:val="22"/>
          <w:u w:val="single"/>
        </w:rPr>
      </w:pPr>
      <w:r w:rsidRPr="002D2630">
        <w:rPr>
          <w:b/>
          <w:color w:val="FF0000"/>
          <w:szCs w:val="22"/>
          <w:u w:val="single"/>
        </w:rPr>
        <w:t>SW-</w:t>
      </w:r>
      <w:r w:rsidR="00490734" w:rsidRPr="002D2630">
        <w:rPr>
          <w:b/>
          <w:color w:val="FF0000"/>
          <w:szCs w:val="22"/>
          <w:u w:val="single"/>
        </w:rPr>
        <w:t>FBC -</w:t>
      </w:r>
      <w:r w:rsidRPr="002D2630">
        <w:rPr>
          <w:b/>
          <w:color w:val="FF0000"/>
          <w:szCs w:val="22"/>
          <w:u w:val="single"/>
        </w:rPr>
        <w:t>B-</w:t>
      </w:r>
      <w:r w:rsidR="00490734" w:rsidRPr="002D2630">
        <w:rPr>
          <w:b/>
          <w:color w:val="FF0000"/>
          <w:szCs w:val="22"/>
          <w:u w:val="single"/>
        </w:rPr>
        <w:t xml:space="preserve"> Ch. 4- </w:t>
      </w:r>
      <w:r w:rsidRPr="002D2630">
        <w:rPr>
          <w:b/>
          <w:color w:val="FF0000"/>
          <w:szCs w:val="22"/>
          <w:u w:val="single"/>
        </w:rPr>
        <w:t>Comment #1</w:t>
      </w:r>
    </w:p>
    <w:p w:rsidR="00A561EE" w:rsidRDefault="00A561EE"/>
    <w:p w:rsidR="00334CC5" w:rsidRPr="00334CC5" w:rsidRDefault="00334CC5" w:rsidP="00334CC5">
      <w:pPr>
        <w:rPr>
          <w:rFonts w:ascii="Tahoma" w:eastAsia="Times New Roman" w:hAnsi="Tahoma" w:cs="Tahoma"/>
          <w:sz w:val="20"/>
        </w:rPr>
      </w:pPr>
      <w:bookmarkStart w:id="0" w:name="_MailOriginal"/>
      <w:r w:rsidRPr="00334CC5">
        <w:rPr>
          <w:rFonts w:ascii="Tahoma" w:eastAsia="Times New Roman" w:hAnsi="Tahoma" w:cs="Tahoma"/>
          <w:b/>
          <w:bCs/>
          <w:sz w:val="20"/>
        </w:rPr>
        <w:t>From:</w:t>
      </w:r>
      <w:r w:rsidRPr="00334CC5">
        <w:rPr>
          <w:rFonts w:ascii="Tahoma" w:eastAsia="Times New Roman" w:hAnsi="Tahoma" w:cs="Tahoma"/>
          <w:sz w:val="20"/>
        </w:rPr>
        <w:t xml:space="preserve"> Vincent, Bob G [mailto:Bob.Vincent@flhealth.gov] </w:t>
      </w:r>
      <w:r w:rsidRPr="00334CC5">
        <w:rPr>
          <w:rFonts w:ascii="Tahoma" w:eastAsia="Times New Roman" w:hAnsi="Tahoma" w:cs="Tahoma"/>
          <w:sz w:val="20"/>
        </w:rPr>
        <w:br/>
      </w:r>
      <w:r w:rsidRPr="00334CC5">
        <w:rPr>
          <w:rFonts w:ascii="Tahoma" w:eastAsia="Times New Roman" w:hAnsi="Tahoma" w:cs="Tahoma"/>
          <w:b/>
          <w:bCs/>
          <w:sz w:val="20"/>
        </w:rPr>
        <w:t>Sent:</w:t>
      </w:r>
      <w:r w:rsidRPr="00334CC5">
        <w:rPr>
          <w:rFonts w:ascii="Tahoma" w:eastAsia="Times New Roman" w:hAnsi="Tahoma" w:cs="Tahoma"/>
          <w:sz w:val="20"/>
        </w:rPr>
        <w:t xml:space="preserve"> Friday, February 28, 2020 7:45 PM</w:t>
      </w:r>
      <w:r w:rsidRPr="00334CC5">
        <w:rPr>
          <w:rFonts w:ascii="Tahoma" w:eastAsia="Times New Roman" w:hAnsi="Tahoma" w:cs="Tahoma"/>
          <w:sz w:val="20"/>
        </w:rPr>
        <w:br/>
      </w:r>
      <w:r w:rsidRPr="00334CC5">
        <w:rPr>
          <w:rFonts w:ascii="Tahoma" w:eastAsia="Times New Roman" w:hAnsi="Tahoma" w:cs="Tahoma"/>
          <w:b/>
          <w:bCs/>
          <w:sz w:val="20"/>
        </w:rPr>
        <w:t>To:</w:t>
      </w:r>
      <w:r w:rsidRPr="00334CC5">
        <w:rPr>
          <w:rFonts w:ascii="Tahoma" w:eastAsia="Times New Roman" w:hAnsi="Tahoma" w:cs="Tahoma"/>
          <w:sz w:val="20"/>
        </w:rPr>
        <w:t xml:space="preserve"> Madani, Mo</w:t>
      </w:r>
      <w:r w:rsidRPr="00334CC5">
        <w:rPr>
          <w:rFonts w:ascii="Tahoma" w:eastAsia="Times New Roman" w:hAnsi="Tahoma" w:cs="Tahoma"/>
          <w:sz w:val="20"/>
        </w:rPr>
        <w:br/>
      </w:r>
      <w:r w:rsidRPr="00334CC5">
        <w:rPr>
          <w:rFonts w:ascii="Tahoma" w:eastAsia="Times New Roman" w:hAnsi="Tahoma" w:cs="Tahoma"/>
          <w:b/>
          <w:bCs/>
          <w:sz w:val="20"/>
        </w:rPr>
        <w:t>Subject:</w:t>
      </w:r>
      <w:r w:rsidRPr="00334CC5">
        <w:rPr>
          <w:rFonts w:ascii="Tahoma" w:eastAsia="Times New Roman" w:hAnsi="Tahoma" w:cs="Tahoma"/>
          <w:sz w:val="20"/>
        </w:rPr>
        <w:t xml:space="preserve"> Public pools TAC </w:t>
      </w:r>
    </w:p>
    <w:p w:rsidR="00334CC5" w:rsidRPr="00334CC5" w:rsidRDefault="00334CC5" w:rsidP="00334CC5">
      <w:pPr>
        <w:rPr>
          <w:rFonts w:ascii="Calibri" w:eastAsiaTheme="minorHAnsi" w:hAnsi="Calibri" w:cs="Calibri"/>
          <w:szCs w:val="22"/>
        </w:rPr>
      </w:pPr>
    </w:p>
    <w:p w:rsidR="00334CC5" w:rsidRPr="00334CC5" w:rsidRDefault="00334CC5" w:rsidP="00334CC5">
      <w:pPr>
        <w:rPr>
          <w:rFonts w:ascii="Calibri" w:eastAsiaTheme="minorHAnsi" w:hAnsi="Calibri" w:cs="Calibri"/>
          <w:szCs w:val="22"/>
        </w:rPr>
      </w:pPr>
      <w:r w:rsidRPr="00334CC5">
        <w:rPr>
          <w:rFonts w:ascii="Calibri" w:eastAsiaTheme="minorHAnsi" w:hAnsi="Calibri" w:cs="Calibri"/>
          <w:szCs w:val="22"/>
        </w:rPr>
        <w:t>For the final Pool TAC meeting, please consider the two following edits to recent revisions, and one suggested definition change for a term in the building code:</w:t>
      </w:r>
    </w:p>
    <w:p w:rsidR="00334CC5" w:rsidRPr="00334CC5" w:rsidRDefault="00334CC5" w:rsidP="00334CC5">
      <w:pPr>
        <w:rPr>
          <w:rFonts w:ascii="Calibri" w:eastAsiaTheme="minorHAnsi" w:hAnsi="Calibri" w:cs="Calibri"/>
          <w:szCs w:val="22"/>
        </w:rPr>
      </w:pPr>
    </w:p>
    <w:p w:rsidR="00334CC5" w:rsidRPr="00334CC5" w:rsidRDefault="00334CC5" w:rsidP="00334CC5">
      <w:pPr>
        <w:spacing w:line="252" w:lineRule="auto"/>
        <w:rPr>
          <w:rFonts w:ascii="Calibri" w:eastAsiaTheme="minorHAnsi" w:hAnsi="Calibri" w:cs="Calibri"/>
          <w:i/>
          <w:iCs/>
          <w:sz w:val="24"/>
          <w:szCs w:val="24"/>
        </w:rPr>
      </w:pPr>
    </w:p>
    <w:p w:rsidR="00334CC5" w:rsidRPr="00334CC5" w:rsidRDefault="00334CC5" w:rsidP="00334CC5">
      <w:pPr>
        <w:spacing w:line="252" w:lineRule="auto"/>
        <w:rPr>
          <w:rFonts w:ascii="Calibri" w:eastAsiaTheme="minorHAnsi" w:hAnsi="Calibri" w:cs="Calibri"/>
          <w:i/>
          <w:iCs/>
          <w:sz w:val="24"/>
          <w:szCs w:val="24"/>
        </w:rPr>
      </w:pPr>
      <w:r w:rsidRPr="00334CC5">
        <w:rPr>
          <w:rFonts w:ascii="Calibri" w:eastAsiaTheme="minorHAnsi" w:hAnsi="Calibri" w:cs="Calibri"/>
          <w:i/>
          <w:iCs/>
          <w:sz w:val="24"/>
          <w:szCs w:val="24"/>
        </w:rPr>
        <w:t xml:space="preserve">1)   This last sentence </w:t>
      </w:r>
      <w:r w:rsidRPr="00334CC5">
        <w:rPr>
          <w:rFonts w:ascii="Calibri" w:eastAsiaTheme="minorHAnsi" w:hAnsi="Calibri" w:cs="Calibri"/>
          <w:i/>
          <w:iCs/>
          <w:sz w:val="24"/>
          <w:szCs w:val="24"/>
          <w:highlight w:val="yellow"/>
        </w:rPr>
        <w:t>HIGHLIGHTED</w:t>
      </w:r>
      <w:r w:rsidRPr="00334CC5">
        <w:rPr>
          <w:rFonts w:ascii="Calibri" w:eastAsiaTheme="minorHAnsi" w:hAnsi="Calibri" w:cs="Calibri"/>
          <w:i/>
          <w:iCs/>
          <w:sz w:val="24"/>
          <w:szCs w:val="24"/>
        </w:rPr>
        <w:t xml:space="preserve"> was left out of the 2020 code draft but was in the supplement.</w:t>
      </w:r>
    </w:p>
    <w:p w:rsidR="00334CC5" w:rsidRPr="00334CC5" w:rsidRDefault="00334CC5" w:rsidP="00334CC5">
      <w:pPr>
        <w:overflowPunct w:val="0"/>
        <w:autoSpaceDE w:val="0"/>
        <w:autoSpaceDN w:val="0"/>
        <w:ind w:left="100" w:right="97"/>
        <w:rPr>
          <w:rFonts w:eastAsiaTheme="minorHAnsi" w:cs="Arial"/>
          <w:sz w:val="24"/>
          <w:szCs w:val="24"/>
        </w:rPr>
      </w:pPr>
      <w:r w:rsidRPr="00334CC5">
        <w:rPr>
          <w:rFonts w:ascii="Calibri" w:eastAsiaTheme="minorHAnsi" w:hAnsi="Calibri" w:cs="Calibri"/>
          <w:b/>
          <w:bCs/>
          <w:sz w:val="24"/>
          <w:szCs w:val="24"/>
        </w:rPr>
        <w:t xml:space="preserve">454.1.2.8.1 Sun shelf dimensional requirements. </w:t>
      </w:r>
      <w:r w:rsidRPr="00334CC5">
        <w:rPr>
          <w:rFonts w:ascii="Calibri" w:eastAsiaTheme="minorHAnsi" w:hAnsi="Calibri" w:cs="Calibri"/>
          <w:sz w:val="24"/>
          <w:szCs w:val="24"/>
        </w:rPr>
        <w:t xml:space="preserve">Sun shelf areas must be a minimum of 20 inches (508 mm) wide and provide a minimum of 10 square feet (0.93 m2) of horizontal surface adjoining on the edge of the pool </w:t>
      </w:r>
      <w:r w:rsidRPr="00334CC5">
        <w:rPr>
          <w:rFonts w:ascii="Calibri" w:eastAsiaTheme="minorHAnsi" w:hAnsi="Calibri" w:cs="Calibri"/>
          <w:sz w:val="24"/>
          <w:szCs w:val="24"/>
          <w:u w:val="single"/>
        </w:rPr>
        <w:t xml:space="preserve">(three sides of shelf must be surrounded by pool deck) </w:t>
      </w:r>
      <w:r w:rsidRPr="00334CC5">
        <w:rPr>
          <w:rFonts w:ascii="Calibri" w:eastAsiaTheme="minorHAnsi" w:hAnsi="Calibri" w:cs="Calibri"/>
          <w:sz w:val="24"/>
          <w:szCs w:val="24"/>
        </w:rPr>
        <w:t xml:space="preserve">over a distance of not less than 3 feet (914 mm).  </w:t>
      </w:r>
      <w:r w:rsidRPr="00334CC5">
        <w:rPr>
          <w:rFonts w:ascii="Calibri" w:eastAsiaTheme="minorHAnsi" w:hAnsi="Calibri" w:cs="Calibri"/>
          <w:sz w:val="24"/>
          <w:szCs w:val="24"/>
          <w:u w:val="single"/>
        </w:rPr>
        <w:t xml:space="preserve">The sun shelf edge that adjoins the pool edge must be continuous. </w:t>
      </w:r>
      <w:r w:rsidRPr="00334CC5">
        <w:rPr>
          <w:rFonts w:ascii="Calibri" w:eastAsiaTheme="minorHAnsi" w:hAnsi="Calibri" w:cs="Calibri"/>
          <w:sz w:val="24"/>
          <w:szCs w:val="24"/>
        </w:rPr>
        <w:t xml:space="preserve">The sun shelf floor shall be horizontal or shall a have uniform slope from a zero depth entry, and its maximum depth shall be between 8 inches (203 mm) to 12 inches (254 mm) below the water surface. </w:t>
      </w:r>
      <w:r w:rsidRPr="00334CC5">
        <w:rPr>
          <w:rFonts w:ascii="Calibri" w:eastAsiaTheme="minorHAnsi" w:hAnsi="Calibri" w:cs="Calibri"/>
          <w:sz w:val="24"/>
          <w:szCs w:val="24"/>
          <w:highlight w:val="yellow"/>
          <w:u w:val="single"/>
        </w:rPr>
        <w:t>In pools utilizing automatic recessed surface skimmers, there shall be at least one skimmer in each sun shelf area.</w:t>
      </w:r>
    </w:p>
    <w:p w:rsidR="00334CC5" w:rsidRPr="00334CC5" w:rsidRDefault="00334CC5" w:rsidP="00334CC5">
      <w:pPr>
        <w:overflowPunct w:val="0"/>
        <w:autoSpaceDE w:val="0"/>
        <w:autoSpaceDN w:val="0"/>
        <w:spacing w:before="1" w:after="120"/>
        <w:ind w:left="100"/>
        <w:rPr>
          <w:rFonts w:ascii="Calibri" w:eastAsiaTheme="minorHAnsi" w:hAnsi="Calibri" w:cs="Calibri"/>
          <w:color w:val="FF0000"/>
          <w:sz w:val="24"/>
          <w:szCs w:val="24"/>
        </w:rPr>
      </w:pPr>
      <w:r w:rsidRPr="00334CC5">
        <w:rPr>
          <w:rFonts w:ascii="Calibri" w:eastAsiaTheme="minorHAnsi" w:hAnsi="Calibri" w:cs="Calibri"/>
          <w:color w:val="FF0000"/>
          <w:sz w:val="24"/>
          <w:szCs w:val="24"/>
        </w:rPr>
        <w:t>(SW8341 A1 only/SW7903)</w:t>
      </w:r>
    </w:p>
    <w:p w:rsidR="006E0B19" w:rsidRDefault="006E0B19" w:rsidP="006E0B19">
      <w:pPr>
        <w:shd w:val="clear" w:color="auto" w:fill="FFFFFF"/>
        <w:outlineLvl w:val="0"/>
        <w:rPr>
          <w:rFonts w:eastAsia="Times New Roman" w:cs="Arial"/>
          <w:b/>
          <w:bCs/>
          <w:color w:val="000000"/>
          <w:kern w:val="36"/>
          <w:sz w:val="21"/>
          <w:szCs w:val="21"/>
        </w:rPr>
      </w:pPr>
    </w:p>
    <w:p w:rsidR="006E0B19" w:rsidRPr="00D661B0" w:rsidRDefault="006E0B19" w:rsidP="006E0B19">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Pr>
          <w:rFonts w:eastAsia="Times New Roman" w:cs="Arial"/>
          <w:b/>
          <w:bCs/>
          <w:color w:val="000000"/>
          <w:kern w:val="36"/>
          <w:sz w:val="21"/>
          <w:szCs w:val="21"/>
        </w:rPr>
        <w:t xml:space="preserve"> NAR</w:t>
      </w:r>
    </w:p>
    <w:p w:rsidR="006E0B19" w:rsidRDefault="006E0B19" w:rsidP="006E0B19">
      <w:pPr>
        <w:shd w:val="clear" w:color="auto" w:fill="FFFFFF"/>
        <w:outlineLvl w:val="0"/>
        <w:rPr>
          <w:rFonts w:eastAsia="Times New Roman" w:cs="Arial"/>
          <w:bCs/>
          <w:color w:val="000000"/>
          <w:kern w:val="36"/>
          <w:sz w:val="21"/>
          <w:szCs w:val="21"/>
          <w:u w:val="single"/>
        </w:rPr>
      </w:pPr>
    </w:p>
    <w:p w:rsidR="006E0B19" w:rsidRPr="00D661B0" w:rsidRDefault="006E0B19" w:rsidP="006E0B19">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6E0B19" w:rsidRDefault="006E0B19" w:rsidP="006E0B19"/>
    <w:p w:rsidR="00334CC5" w:rsidRPr="00334CC5" w:rsidRDefault="00334CC5" w:rsidP="00334CC5">
      <w:pPr>
        <w:overflowPunct w:val="0"/>
        <w:autoSpaceDE w:val="0"/>
        <w:autoSpaceDN w:val="0"/>
        <w:spacing w:before="1" w:after="120"/>
        <w:ind w:left="100"/>
        <w:rPr>
          <w:rFonts w:ascii="Calibri" w:eastAsiaTheme="minorHAnsi" w:hAnsi="Calibri" w:cs="Calibri"/>
          <w:i/>
          <w:iCs/>
          <w:sz w:val="24"/>
          <w:szCs w:val="24"/>
        </w:rPr>
      </w:pPr>
      <w:r w:rsidRPr="00334CC5">
        <w:rPr>
          <w:rFonts w:ascii="Calibri" w:eastAsiaTheme="minorHAnsi" w:hAnsi="Calibri" w:cs="Calibri"/>
          <w:i/>
          <w:iCs/>
          <w:sz w:val="24"/>
          <w:szCs w:val="24"/>
        </w:rPr>
        <w:t xml:space="preserve">2)   This revision may contradict the DOH pool code.  DOH has a code requirement for a Safety/Lifeguard plan that we must approve for pools with climbable structures and for all water theme parks; in that plan, lifeguards typically cannot be replaced by non-lifeguard-certified attendants at a slide run out.  </w:t>
      </w:r>
      <w:r w:rsidRPr="00334CC5">
        <w:rPr>
          <w:rFonts w:ascii="Calibri" w:eastAsiaTheme="minorHAnsi" w:hAnsi="Calibri" w:cs="Calibri"/>
          <w:i/>
          <w:iCs/>
          <w:sz w:val="24"/>
          <w:szCs w:val="24"/>
          <w:highlight w:val="yellow"/>
        </w:rPr>
        <w:t>Added language suggested is</w:t>
      </w:r>
      <w:r w:rsidRPr="00334CC5">
        <w:rPr>
          <w:rFonts w:ascii="Calibri" w:eastAsiaTheme="minorHAnsi" w:hAnsi="Calibri" w:cs="Calibri"/>
          <w:i/>
          <w:iCs/>
          <w:sz w:val="24"/>
          <w:szCs w:val="24"/>
        </w:rPr>
        <w:t xml:space="preserve"> </w:t>
      </w:r>
      <w:r w:rsidRPr="00334CC5">
        <w:rPr>
          <w:rFonts w:ascii="Calibri" w:eastAsiaTheme="minorHAnsi" w:hAnsi="Calibri" w:cs="Calibri"/>
          <w:i/>
          <w:iCs/>
          <w:sz w:val="24"/>
          <w:szCs w:val="24"/>
          <w:highlight w:val="yellow"/>
        </w:rPr>
        <w:t>highlighted</w:t>
      </w:r>
      <w:r w:rsidRPr="00334CC5">
        <w:rPr>
          <w:rFonts w:ascii="Calibri" w:eastAsiaTheme="minorHAnsi" w:hAnsi="Calibri" w:cs="Calibri"/>
          <w:i/>
          <w:iCs/>
          <w:sz w:val="24"/>
          <w:szCs w:val="24"/>
        </w:rPr>
        <w:t xml:space="preserve">. </w:t>
      </w:r>
    </w:p>
    <w:p w:rsidR="00334CC5" w:rsidRPr="00334CC5" w:rsidRDefault="00334CC5" w:rsidP="00334CC5">
      <w:pPr>
        <w:overflowPunct w:val="0"/>
        <w:autoSpaceDE w:val="0"/>
        <w:autoSpaceDN w:val="0"/>
        <w:spacing w:before="1"/>
        <w:ind w:left="100"/>
        <w:rPr>
          <w:rFonts w:eastAsiaTheme="minorHAnsi" w:cs="Arial"/>
          <w:b/>
          <w:bCs/>
          <w:sz w:val="24"/>
          <w:szCs w:val="24"/>
        </w:rPr>
      </w:pPr>
      <w:r w:rsidRPr="00334CC5">
        <w:rPr>
          <w:rFonts w:ascii="Calibri" w:eastAsiaTheme="minorHAnsi" w:hAnsi="Calibri" w:cs="Calibri"/>
          <w:b/>
          <w:bCs/>
          <w:sz w:val="24"/>
          <w:szCs w:val="24"/>
        </w:rPr>
        <w:t>454.1.9.2.2.4</w:t>
      </w:r>
    </w:p>
    <w:p w:rsidR="00334CC5" w:rsidRPr="00334CC5" w:rsidRDefault="00334CC5" w:rsidP="00334CC5">
      <w:pPr>
        <w:overflowPunct w:val="0"/>
        <w:autoSpaceDE w:val="0"/>
        <w:autoSpaceDN w:val="0"/>
        <w:spacing w:before="80"/>
        <w:ind w:left="100" w:right="101"/>
        <w:rPr>
          <w:rFonts w:ascii="Calibri" w:eastAsiaTheme="minorHAnsi" w:hAnsi="Calibri" w:cs="Calibri"/>
          <w:sz w:val="24"/>
          <w:szCs w:val="24"/>
        </w:rPr>
      </w:pPr>
      <w:r w:rsidRPr="00334CC5">
        <w:rPr>
          <w:rFonts w:ascii="Calibri" w:eastAsiaTheme="minorHAnsi" w:hAnsi="Calibri" w:cs="Calibri"/>
          <w:sz w:val="24"/>
          <w:szCs w:val="24"/>
          <w:u w:val="single"/>
        </w:rPr>
        <w:t xml:space="preserve">Attendants or lifeguards </w:t>
      </w:r>
      <w:r w:rsidRPr="00334CC5">
        <w:rPr>
          <w:rFonts w:ascii="Calibri" w:eastAsiaTheme="minorHAnsi" w:hAnsi="Calibri" w:cs="Calibri"/>
          <w:strike/>
          <w:sz w:val="24"/>
          <w:szCs w:val="24"/>
        </w:rPr>
        <w:t xml:space="preserve">Water park personnel </w:t>
      </w:r>
      <w:r w:rsidRPr="00334CC5">
        <w:rPr>
          <w:rFonts w:ascii="Calibri" w:eastAsiaTheme="minorHAnsi" w:hAnsi="Calibri" w:cs="Calibri"/>
          <w:sz w:val="24"/>
          <w:szCs w:val="24"/>
        </w:rPr>
        <w:t xml:space="preserve">shall be provided at the top of the slides and at the run out </w:t>
      </w:r>
      <w:r w:rsidRPr="00334CC5">
        <w:rPr>
          <w:rFonts w:ascii="Calibri" w:eastAsiaTheme="minorHAnsi" w:hAnsi="Calibri" w:cs="Calibri"/>
          <w:sz w:val="24"/>
          <w:szCs w:val="24"/>
          <w:highlight w:val="yellow"/>
          <w:u w:val="single"/>
        </w:rPr>
        <w:t>in accordance with a safety/ lifeguard plan approved by DOH</w:t>
      </w:r>
      <w:r w:rsidRPr="00334CC5">
        <w:rPr>
          <w:rFonts w:ascii="Calibri" w:eastAsiaTheme="minorHAnsi" w:hAnsi="Calibri" w:cs="Calibri"/>
          <w:sz w:val="24"/>
          <w:szCs w:val="24"/>
        </w:rPr>
        <w:t>.</w:t>
      </w:r>
    </w:p>
    <w:p w:rsidR="00334CC5" w:rsidRDefault="00334CC5" w:rsidP="00334CC5">
      <w:pPr>
        <w:overflowPunct w:val="0"/>
        <w:autoSpaceDE w:val="0"/>
        <w:autoSpaceDN w:val="0"/>
        <w:spacing w:before="1" w:after="360"/>
        <w:ind w:left="100"/>
        <w:rPr>
          <w:rFonts w:ascii="Calibri" w:eastAsiaTheme="minorHAnsi" w:hAnsi="Calibri" w:cs="Calibri"/>
          <w:color w:val="FF0000"/>
          <w:sz w:val="24"/>
          <w:szCs w:val="24"/>
        </w:rPr>
      </w:pPr>
      <w:r w:rsidRPr="00334CC5">
        <w:rPr>
          <w:rFonts w:ascii="Calibri" w:eastAsiaTheme="minorHAnsi" w:hAnsi="Calibri" w:cs="Calibri"/>
          <w:color w:val="FF0000"/>
          <w:sz w:val="24"/>
          <w:szCs w:val="24"/>
        </w:rPr>
        <w:t>(SW7917)</w:t>
      </w:r>
    </w:p>
    <w:p w:rsidR="006E0B19" w:rsidRPr="00D661B0" w:rsidRDefault="006E0B19" w:rsidP="006E0B19">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Pr>
          <w:rFonts w:eastAsia="Times New Roman" w:cs="Arial"/>
          <w:b/>
          <w:bCs/>
          <w:color w:val="000000"/>
          <w:kern w:val="36"/>
          <w:sz w:val="21"/>
          <w:szCs w:val="21"/>
        </w:rPr>
        <w:t xml:space="preserve"> AS</w:t>
      </w:r>
    </w:p>
    <w:p w:rsidR="006E0B19" w:rsidRDefault="006E0B19" w:rsidP="006E0B19">
      <w:pPr>
        <w:shd w:val="clear" w:color="auto" w:fill="FFFFFF"/>
        <w:outlineLvl w:val="0"/>
        <w:rPr>
          <w:rFonts w:eastAsia="Times New Roman" w:cs="Arial"/>
          <w:bCs/>
          <w:color w:val="000000"/>
          <w:kern w:val="36"/>
          <w:sz w:val="21"/>
          <w:szCs w:val="21"/>
          <w:u w:val="single"/>
        </w:rPr>
      </w:pPr>
    </w:p>
    <w:p w:rsidR="006E0B19" w:rsidRPr="00D661B0" w:rsidRDefault="006E0B19" w:rsidP="006E0B19">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6E0B19" w:rsidRDefault="006E0B19" w:rsidP="006E0B19"/>
    <w:p w:rsidR="006E0B19" w:rsidRDefault="006E0B19" w:rsidP="00334CC5">
      <w:pPr>
        <w:overflowPunct w:val="0"/>
        <w:autoSpaceDE w:val="0"/>
        <w:autoSpaceDN w:val="0"/>
        <w:spacing w:before="1" w:after="360"/>
        <w:ind w:left="100"/>
        <w:rPr>
          <w:rFonts w:ascii="Calibri" w:eastAsiaTheme="minorHAnsi" w:hAnsi="Calibri" w:cs="Calibri"/>
          <w:color w:val="FF0000"/>
          <w:sz w:val="24"/>
          <w:szCs w:val="24"/>
        </w:rPr>
      </w:pPr>
    </w:p>
    <w:p w:rsidR="006E0B19" w:rsidRPr="00334CC5" w:rsidRDefault="006E0B19" w:rsidP="00334CC5">
      <w:pPr>
        <w:overflowPunct w:val="0"/>
        <w:autoSpaceDE w:val="0"/>
        <w:autoSpaceDN w:val="0"/>
        <w:spacing w:before="1" w:after="360"/>
        <w:ind w:left="100"/>
        <w:rPr>
          <w:rFonts w:ascii="Calibri" w:eastAsiaTheme="minorHAnsi" w:hAnsi="Calibri" w:cs="Calibri"/>
          <w:color w:val="FF0000"/>
          <w:sz w:val="24"/>
          <w:szCs w:val="24"/>
        </w:rPr>
      </w:pPr>
    </w:p>
    <w:p w:rsidR="00334CC5" w:rsidRPr="00334CC5" w:rsidRDefault="00334CC5" w:rsidP="00334CC5">
      <w:pPr>
        <w:rPr>
          <w:rFonts w:ascii="Calibri" w:eastAsiaTheme="minorHAnsi" w:hAnsi="Calibri" w:cs="Calibri"/>
          <w:szCs w:val="22"/>
        </w:rPr>
      </w:pPr>
    </w:p>
    <w:p w:rsidR="00334CC5" w:rsidRPr="00334CC5" w:rsidRDefault="00334CC5" w:rsidP="00334CC5">
      <w:pPr>
        <w:ind w:firstLine="100"/>
        <w:rPr>
          <w:rFonts w:ascii="Calibri" w:eastAsiaTheme="minorHAnsi" w:hAnsi="Calibri" w:cs="Calibri"/>
          <w:i/>
          <w:iCs/>
          <w:sz w:val="24"/>
          <w:szCs w:val="24"/>
        </w:rPr>
      </w:pPr>
      <w:r w:rsidRPr="00334CC5">
        <w:rPr>
          <w:rFonts w:ascii="Calibri" w:eastAsiaTheme="minorHAnsi" w:hAnsi="Calibri" w:cs="Calibri"/>
          <w:i/>
          <w:iCs/>
          <w:sz w:val="24"/>
          <w:szCs w:val="24"/>
        </w:rPr>
        <w:t>3)   The following definition of Swimming Pool in the FBC-Building code definitely contradicts for public pool Interactive Water Features where there is no water depth,  and for the Epsom salt float pools with only 10”-12” of water.  I suggest the definition be changed to better reflect one or both of the statutes’ definitions listed below.  I have added Under Lined phrases that may help with snips from the statutory and FBC definitions below:</w:t>
      </w:r>
    </w:p>
    <w:p w:rsidR="00334CC5" w:rsidRDefault="00334CC5" w:rsidP="00334CC5">
      <w:pPr>
        <w:rPr>
          <w:rFonts w:ascii="Open Sans" w:eastAsiaTheme="minorHAnsi" w:hAnsi="Open Sans" w:cs="Calibri"/>
          <w:b/>
          <w:bCs/>
          <w:sz w:val="21"/>
          <w:szCs w:val="21"/>
          <w:shd w:val="clear" w:color="auto" w:fill="FFFFFF"/>
        </w:rPr>
      </w:pPr>
    </w:p>
    <w:p w:rsidR="006E0B19" w:rsidRPr="00334CC5" w:rsidRDefault="006E0B19" w:rsidP="00334CC5">
      <w:pPr>
        <w:rPr>
          <w:rFonts w:ascii="Open Sans" w:eastAsiaTheme="minorHAnsi" w:hAnsi="Open Sans" w:cs="Calibri"/>
          <w:b/>
          <w:bCs/>
          <w:sz w:val="21"/>
          <w:szCs w:val="21"/>
          <w:shd w:val="clear" w:color="auto" w:fill="FFFFFF"/>
        </w:rPr>
      </w:pPr>
    </w:p>
    <w:p w:rsidR="006E0B19" w:rsidRPr="00FC1B66" w:rsidRDefault="00FC1B66" w:rsidP="00FC1B66">
      <w:pPr>
        <w:autoSpaceDE w:val="0"/>
        <w:autoSpaceDN w:val="0"/>
        <w:adjustRightInd w:val="0"/>
        <w:rPr>
          <w:rFonts w:ascii="Open Sans" w:eastAsiaTheme="minorHAnsi" w:hAnsi="Open Sans" w:cs="Calibri"/>
          <w:b/>
          <w:bCs/>
          <w:strike/>
          <w:sz w:val="21"/>
          <w:szCs w:val="21"/>
          <w:shd w:val="clear" w:color="auto" w:fill="FFFFFF"/>
        </w:rPr>
      </w:pPr>
      <w:r w:rsidRPr="00FC1B66">
        <w:rPr>
          <w:rFonts w:ascii="Times New Roman" w:hAnsi="Times New Roman"/>
          <w:b/>
          <w:bCs/>
          <w:sz w:val="24"/>
          <w:szCs w:val="24"/>
        </w:rPr>
        <w:t xml:space="preserve">SWIMMING POOL. </w:t>
      </w:r>
      <w:r w:rsidRPr="00FC1B66">
        <w:rPr>
          <w:rFonts w:ascii="Times New Roman" w:hAnsi="Times New Roman"/>
          <w:strike/>
          <w:sz w:val="24"/>
          <w:szCs w:val="24"/>
        </w:rPr>
        <w:t xml:space="preserve">Any structure intended for swimming, recreational bathing or wading that contains water over 24 inches (610 mm) deep. This includes in-ground, aboveground and on-ground pools; hot tubs; spas and fixed-in place </w:t>
      </w:r>
      <w:r w:rsidRPr="00FC1B66">
        <w:rPr>
          <w:rFonts w:ascii="Times New Roman" w:hAnsi="Times New Roman"/>
          <w:strike/>
          <w:sz w:val="20"/>
        </w:rPr>
        <w:t>wading pools.</w:t>
      </w:r>
    </w:p>
    <w:p w:rsidR="006E0B19" w:rsidRDefault="006E0B19" w:rsidP="00334CC5">
      <w:pPr>
        <w:rPr>
          <w:rFonts w:ascii="Open Sans" w:eastAsiaTheme="minorHAnsi" w:hAnsi="Open Sans" w:cs="Calibri"/>
          <w:b/>
          <w:bCs/>
          <w:sz w:val="21"/>
          <w:szCs w:val="21"/>
          <w:shd w:val="clear" w:color="auto" w:fill="FFFFFF"/>
        </w:rPr>
      </w:pPr>
    </w:p>
    <w:p w:rsidR="00334CC5" w:rsidRPr="00334CC5" w:rsidRDefault="00334CC5" w:rsidP="00334CC5">
      <w:pPr>
        <w:rPr>
          <w:rFonts w:ascii="Calibri" w:eastAsiaTheme="minorHAnsi" w:hAnsi="Calibri" w:cs="Calibri"/>
          <w:szCs w:val="22"/>
        </w:rPr>
      </w:pPr>
      <w:r w:rsidRPr="00334CC5">
        <w:rPr>
          <w:rFonts w:ascii="Open Sans" w:eastAsiaTheme="minorHAnsi" w:hAnsi="Open Sans" w:cs="Calibri"/>
          <w:b/>
          <w:bCs/>
          <w:sz w:val="21"/>
          <w:szCs w:val="21"/>
          <w:shd w:val="clear" w:color="auto" w:fill="FFFFFF"/>
        </w:rPr>
        <w:t>SWIMMING POOL. </w:t>
      </w:r>
      <w:r w:rsidRPr="006E0B19">
        <w:rPr>
          <w:rFonts w:ascii="Open Sans" w:eastAsiaTheme="minorHAnsi" w:hAnsi="Open Sans" w:cs="Calibri"/>
          <w:sz w:val="21"/>
          <w:szCs w:val="21"/>
          <w:u w:val="single"/>
          <w:shd w:val="clear" w:color="auto" w:fill="FFFFFF"/>
        </w:rPr>
        <w:t>Any structure, basin, chamber or tank containing an artificial body of water for swimming, diving or recreational bathing located in a residential area serving four or fewer living units having a depth of 2 feet (610 mm) or more at any point as defined in s. 515.25, FS, or the body of water is a public pool as defined in s. 514.011, FS.</w:t>
      </w:r>
    </w:p>
    <w:p w:rsidR="00334CC5" w:rsidRPr="00334CC5" w:rsidRDefault="00334CC5" w:rsidP="00334CC5">
      <w:pPr>
        <w:rPr>
          <w:rFonts w:ascii="Open Sans" w:eastAsiaTheme="minorHAnsi" w:hAnsi="Open Sans" w:cs="Calibri"/>
          <w:sz w:val="21"/>
          <w:szCs w:val="21"/>
          <w:shd w:val="clear" w:color="auto" w:fill="FFFFFF"/>
        </w:rPr>
      </w:pPr>
    </w:p>
    <w:p w:rsidR="00334CC5" w:rsidRPr="00334CC5" w:rsidRDefault="00334CC5" w:rsidP="00334CC5">
      <w:pPr>
        <w:rPr>
          <w:rFonts w:ascii="Calibri" w:eastAsiaTheme="minorHAnsi" w:hAnsi="Calibri" w:cs="Calibri"/>
          <w:i/>
          <w:iCs/>
          <w:sz w:val="24"/>
          <w:szCs w:val="24"/>
          <w:shd w:val="clear" w:color="auto" w:fill="FFFFFF"/>
        </w:rPr>
      </w:pPr>
      <w:r w:rsidRPr="00334CC5">
        <w:rPr>
          <w:rFonts w:ascii="Calibri" w:eastAsiaTheme="minorHAnsi" w:hAnsi="Calibri" w:cs="Calibri"/>
          <w:i/>
          <w:iCs/>
          <w:sz w:val="24"/>
          <w:szCs w:val="24"/>
          <w:shd w:val="clear" w:color="auto" w:fill="FFFFFF"/>
        </w:rPr>
        <w:t>The following are definitions in the Florida Statutes 514 and 515, and in the Building Code Chapter 4 at 454:</w:t>
      </w:r>
    </w:p>
    <w:p w:rsidR="00334CC5" w:rsidRPr="00334CC5" w:rsidRDefault="00334CC5" w:rsidP="00334CC5">
      <w:pPr>
        <w:spacing w:line="360" w:lineRule="atLeast"/>
        <w:ind w:firstLine="200"/>
        <w:rPr>
          <w:rFonts w:ascii="Trebuchet MS" w:eastAsiaTheme="minorHAnsi" w:hAnsi="Trebuchet MS" w:cs="Calibri"/>
          <w:sz w:val="20"/>
        </w:rPr>
      </w:pPr>
      <w:r w:rsidRPr="00334CC5">
        <w:rPr>
          <w:rFonts w:ascii="Trebuchet MS" w:eastAsiaTheme="minorHAnsi" w:hAnsi="Trebuchet MS" w:cs="Calibri"/>
          <w:b/>
          <w:bCs/>
          <w:sz w:val="20"/>
          <w:shd w:val="clear" w:color="auto" w:fill="FFFFFF"/>
        </w:rPr>
        <w:t>514.011</w:t>
      </w:r>
      <w:r w:rsidRPr="00334CC5">
        <w:rPr>
          <w:rFonts w:ascii="Trebuchet MS" w:eastAsiaTheme="minorHAnsi" w:hAnsi="Trebuchet MS" w:cs="Calibri"/>
          <w:b/>
          <w:bCs/>
          <w:sz w:val="20"/>
          <w:shd w:val="clear" w:color="auto" w:fill="FFFFFF"/>
        </w:rPr>
        <w:t> </w:t>
      </w:r>
      <w:r w:rsidRPr="00334CC5">
        <w:rPr>
          <w:rFonts w:ascii="Trebuchet MS" w:eastAsiaTheme="minorHAnsi" w:hAnsi="Trebuchet MS" w:cs="Calibri"/>
          <w:b/>
          <w:bCs/>
          <w:sz w:val="20"/>
          <w:shd w:val="clear" w:color="auto" w:fill="FFFFFF"/>
        </w:rPr>
        <w:t>Definitions.</w:t>
      </w:r>
      <w:r w:rsidRPr="00334CC5">
        <w:rPr>
          <w:rFonts w:ascii="Trebuchet MS" w:eastAsiaTheme="minorHAnsi" w:hAnsi="Trebuchet MS" w:cs="Calibri"/>
          <w:sz w:val="20"/>
          <w:shd w:val="clear" w:color="auto" w:fill="FFFFFF"/>
        </w:rPr>
        <w:t>—As used in this chapter:</w:t>
      </w:r>
    </w:p>
    <w:p w:rsidR="00334CC5" w:rsidRPr="00334CC5" w:rsidRDefault="00334CC5" w:rsidP="00334CC5">
      <w:pPr>
        <w:spacing w:line="360" w:lineRule="atLeast"/>
        <w:ind w:firstLine="240"/>
        <w:rPr>
          <w:rFonts w:ascii="Trebuchet MS" w:eastAsiaTheme="minorHAnsi" w:hAnsi="Trebuchet MS" w:cs="Calibri"/>
          <w:sz w:val="20"/>
          <w:shd w:val="clear" w:color="auto" w:fill="FFFFFF"/>
        </w:rPr>
      </w:pPr>
      <w:r w:rsidRPr="00334CC5">
        <w:rPr>
          <w:rFonts w:ascii="Trebuchet MS" w:eastAsiaTheme="minorHAnsi" w:hAnsi="Trebuchet MS" w:cs="Calibri"/>
          <w:sz w:val="20"/>
          <w:shd w:val="clear" w:color="auto" w:fill="FFFFFF"/>
        </w:rPr>
        <w:t>(2)</w:t>
      </w:r>
      <w:r w:rsidRPr="00334CC5">
        <w:rPr>
          <w:rFonts w:ascii="Trebuchet MS" w:eastAsiaTheme="minorHAnsi" w:hAnsi="Trebuchet MS" w:cs="Calibri"/>
          <w:sz w:val="20"/>
          <w:shd w:val="clear" w:color="auto" w:fill="FFFFFF"/>
        </w:rPr>
        <w:t> </w:t>
      </w:r>
      <w:r w:rsidRPr="00334CC5">
        <w:rPr>
          <w:rFonts w:ascii="Trebuchet MS" w:eastAsiaTheme="minorHAnsi" w:hAnsi="Trebuchet MS" w:cs="Calibri"/>
          <w:sz w:val="20"/>
          <w:shd w:val="clear" w:color="auto" w:fill="FFFFFF"/>
        </w:rPr>
        <w:t>“Public swimming pool” or “public pool” means a watertight structure of concrete, masonry, or other approved materials which is located either indoors or outdoors, used for bathing or swimming by humans, and filled with a filtered and disinfected water supply, together with buildings, appurtenances, and equipment used in connection therewith. A public swimming pool or public pool shall mean a conventional pool, spa-type pool, wading pool, special purpose pool, or water recreation attraction, to which admission may be gained with or without payment of a fee and includes, but is not limited to, pools operated by or serving camps, churches, cities, counties, day care centers, group home facilities for eight or more clients, health spas, institutions, parks, state agencies, schools, subdivisions, or the cooperative living-type projects of five or more living units, such as apartments, boardinghouses, hotels, mobile home parks, motels, recreational vehicle parks, and townhouses.</w:t>
      </w:r>
    </w:p>
    <w:p w:rsidR="00334CC5" w:rsidRPr="00334CC5" w:rsidRDefault="00334CC5" w:rsidP="00334CC5">
      <w:pPr>
        <w:ind w:firstLine="240"/>
        <w:rPr>
          <w:rFonts w:ascii="Calibri" w:eastAsiaTheme="minorHAnsi" w:hAnsi="Calibri" w:cs="Calibri"/>
          <w:szCs w:val="22"/>
        </w:rPr>
      </w:pPr>
      <w:r w:rsidRPr="00334CC5">
        <w:rPr>
          <w:rFonts w:ascii="Trebuchet MS" w:eastAsiaTheme="minorHAnsi" w:hAnsi="Trebuchet MS" w:cs="Calibri"/>
          <w:sz w:val="20"/>
          <w:shd w:val="clear" w:color="auto" w:fill="FFFFFF"/>
        </w:rPr>
        <w:t>(3)</w:t>
      </w:r>
      <w:r w:rsidRPr="00334CC5">
        <w:rPr>
          <w:rFonts w:ascii="Trebuchet MS" w:eastAsiaTheme="minorHAnsi" w:hAnsi="Trebuchet MS" w:cs="Calibri"/>
          <w:sz w:val="20"/>
          <w:shd w:val="clear" w:color="auto" w:fill="FFFFFF"/>
        </w:rPr>
        <w:t> </w:t>
      </w:r>
      <w:r w:rsidRPr="00334CC5">
        <w:rPr>
          <w:rFonts w:ascii="Trebuchet MS" w:eastAsiaTheme="minorHAnsi" w:hAnsi="Trebuchet MS" w:cs="Calibri"/>
          <w:sz w:val="20"/>
          <w:shd w:val="clear" w:color="auto" w:fill="FFFFFF"/>
        </w:rPr>
        <w:t>“Private pool” means a facility used only by an individual, family, or living unit members and their guests which does not serve any type of cooperative housing or joint tenancy of five or more living units.</w:t>
      </w:r>
    </w:p>
    <w:p w:rsidR="00334CC5" w:rsidRPr="00334CC5" w:rsidRDefault="00334CC5" w:rsidP="00334CC5">
      <w:pPr>
        <w:ind w:firstLine="240"/>
        <w:rPr>
          <w:rFonts w:ascii="Trebuchet MS" w:eastAsiaTheme="minorHAnsi" w:hAnsi="Trebuchet MS" w:cs="Calibri"/>
          <w:sz w:val="20"/>
          <w:shd w:val="clear" w:color="auto" w:fill="FFFFFF"/>
        </w:rPr>
      </w:pPr>
    </w:p>
    <w:p w:rsidR="00334CC5" w:rsidRPr="00334CC5" w:rsidRDefault="00334CC5" w:rsidP="00334CC5">
      <w:pPr>
        <w:ind w:firstLine="240"/>
        <w:rPr>
          <w:rFonts w:ascii="Trebuchet MS" w:eastAsiaTheme="minorHAnsi" w:hAnsi="Trebuchet MS" w:cs="Calibri"/>
          <w:color w:val="000080"/>
          <w:sz w:val="20"/>
          <w:shd w:val="clear" w:color="auto" w:fill="FFFFFF"/>
        </w:rPr>
      </w:pPr>
      <w:r w:rsidRPr="00334CC5">
        <w:rPr>
          <w:rFonts w:ascii="Trebuchet MS" w:eastAsiaTheme="minorHAnsi" w:hAnsi="Trebuchet MS" w:cs="Calibri"/>
          <w:b/>
          <w:bCs/>
          <w:sz w:val="20"/>
        </w:rPr>
        <w:t>515.25</w:t>
      </w:r>
      <w:r w:rsidRPr="00334CC5">
        <w:rPr>
          <w:rFonts w:ascii="Trebuchet MS" w:eastAsiaTheme="minorHAnsi" w:hAnsi="Trebuchet MS" w:cs="Calibri"/>
          <w:b/>
          <w:bCs/>
          <w:sz w:val="20"/>
        </w:rPr>
        <w:t> </w:t>
      </w:r>
      <w:r w:rsidRPr="00334CC5">
        <w:rPr>
          <w:rFonts w:ascii="Trebuchet MS" w:eastAsiaTheme="minorHAnsi" w:hAnsi="Trebuchet MS" w:cs="Calibri"/>
          <w:b/>
          <w:bCs/>
          <w:sz w:val="20"/>
        </w:rPr>
        <w:t>Definitions.</w:t>
      </w:r>
      <w:r w:rsidRPr="00334CC5">
        <w:rPr>
          <w:rFonts w:ascii="Trebuchet MS" w:eastAsiaTheme="minorHAnsi" w:hAnsi="Trebuchet MS" w:cs="Calibri"/>
          <w:sz w:val="20"/>
        </w:rPr>
        <w:t>—</w:t>
      </w:r>
      <w:r w:rsidRPr="00334CC5">
        <w:rPr>
          <w:rFonts w:ascii="Trebuchet MS" w:eastAsiaTheme="minorHAnsi" w:hAnsi="Trebuchet MS" w:cs="Calibri"/>
          <w:color w:val="000000"/>
          <w:sz w:val="20"/>
          <w:shd w:val="clear" w:color="auto" w:fill="FFFFFF"/>
        </w:rPr>
        <w:t>As used in this chapter, the term:</w:t>
      </w:r>
    </w:p>
    <w:p w:rsidR="00334CC5" w:rsidRPr="00334CC5" w:rsidRDefault="00334CC5" w:rsidP="00334CC5">
      <w:pPr>
        <w:shd w:val="clear" w:color="auto" w:fill="FFFFFF"/>
        <w:spacing w:line="360" w:lineRule="atLeast"/>
        <w:ind w:firstLine="200"/>
        <w:rPr>
          <w:rFonts w:ascii="Calibri" w:eastAsiaTheme="minorHAnsi" w:hAnsi="Calibri" w:cs="Calibri"/>
          <w:color w:val="000000"/>
          <w:szCs w:val="22"/>
        </w:rPr>
      </w:pPr>
      <w:r w:rsidRPr="00334CC5">
        <w:rPr>
          <w:rFonts w:ascii="Trebuchet MS" w:eastAsiaTheme="minorHAnsi" w:hAnsi="Trebuchet MS" w:cs="Calibri"/>
          <w:color w:val="000000"/>
          <w:sz w:val="20"/>
        </w:rPr>
        <w:t>(9)</w:t>
      </w:r>
      <w:r w:rsidRPr="00334CC5">
        <w:rPr>
          <w:rFonts w:ascii="Trebuchet MS" w:eastAsiaTheme="minorHAnsi" w:hAnsi="Trebuchet MS" w:cs="Calibri"/>
          <w:color w:val="000000"/>
          <w:sz w:val="20"/>
        </w:rPr>
        <w:t> </w:t>
      </w:r>
      <w:r w:rsidRPr="00334CC5">
        <w:rPr>
          <w:rFonts w:ascii="Trebuchet MS" w:eastAsiaTheme="minorHAnsi" w:hAnsi="Trebuchet MS" w:cs="Calibri"/>
          <w:color w:val="000000"/>
          <w:sz w:val="20"/>
        </w:rPr>
        <w:t>“Public swimming pool” means a swimming pool, as defined in s. </w:t>
      </w:r>
      <w:hyperlink r:id="rId8" w:history="1">
        <w:r w:rsidRPr="00334CC5">
          <w:rPr>
            <w:rFonts w:ascii="Trebuchet MS" w:eastAsiaTheme="minorHAnsi" w:hAnsi="Trebuchet MS" w:cs="Calibri"/>
            <w:color w:val="4B4B4B"/>
            <w:sz w:val="20"/>
            <w:u w:val="single"/>
          </w:rPr>
          <w:t>514.011</w:t>
        </w:r>
      </w:hyperlink>
      <w:r w:rsidRPr="00334CC5">
        <w:rPr>
          <w:rFonts w:ascii="Trebuchet MS" w:eastAsiaTheme="minorHAnsi" w:hAnsi="Trebuchet MS" w:cs="Calibri"/>
          <w:color w:val="000000"/>
          <w:sz w:val="20"/>
        </w:rPr>
        <w:t>(2), which is operated, with or without charge, for the use of the general public; however, the term does not include a swimming pool located on the grounds of a private residence.</w:t>
      </w:r>
    </w:p>
    <w:p w:rsidR="00334CC5" w:rsidRPr="00334CC5" w:rsidRDefault="00334CC5" w:rsidP="00334CC5">
      <w:pPr>
        <w:shd w:val="clear" w:color="auto" w:fill="FFFFFF"/>
        <w:spacing w:line="360" w:lineRule="atLeast"/>
        <w:ind w:firstLine="200"/>
        <w:rPr>
          <w:rFonts w:ascii="Trebuchet MS" w:eastAsiaTheme="minorHAnsi" w:hAnsi="Trebuchet MS" w:cs="Calibri"/>
          <w:color w:val="000000"/>
          <w:sz w:val="20"/>
        </w:rPr>
      </w:pPr>
      <w:r w:rsidRPr="00334CC5">
        <w:rPr>
          <w:rFonts w:ascii="Trebuchet MS" w:eastAsiaTheme="minorHAnsi" w:hAnsi="Trebuchet MS" w:cs="Calibri"/>
          <w:color w:val="000000"/>
          <w:sz w:val="20"/>
        </w:rPr>
        <w:t>(10)</w:t>
      </w:r>
      <w:r w:rsidRPr="00334CC5">
        <w:rPr>
          <w:rFonts w:ascii="Trebuchet MS" w:eastAsiaTheme="minorHAnsi" w:hAnsi="Trebuchet MS" w:cs="Calibri"/>
          <w:color w:val="000000"/>
          <w:sz w:val="20"/>
        </w:rPr>
        <w:t> </w:t>
      </w:r>
      <w:r w:rsidRPr="00334CC5">
        <w:rPr>
          <w:rFonts w:ascii="Trebuchet MS" w:eastAsiaTheme="minorHAnsi" w:hAnsi="Trebuchet MS" w:cs="Calibri"/>
          <w:color w:val="000000"/>
          <w:sz w:val="20"/>
        </w:rPr>
        <w:t>“Residential” means situated on the premises of a detached one-family or two-family dwelling or a one-family townhouse not more than three stories high.</w:t>
      </w:r>
    </w:p>
    <w:p w:rsidR="00334CC5" w:rsidRPr="00334CC5" w:rsidRDefault="00334CC5" w:rsidP="00334CC5">
      <w:pPr>
        <w:shd w:val="clear" w:color="auto" w:fill="FFFFFF"/>
        <w:spacing w:line="360" w:lineRule="atLeast"/>
        <w:ind w:firstLine="200"/>
        <w:rPr>
          <w:rFonts w:ascii="Calibri" w:eastAsiaTheme="minorHAnsi" w:hAnsi="Calibri" w:cs="Calibri"/>
          <w:szCs w:val="22"/>
        </w:rPr>
      </w:pPr>
      <w:r w:rsidRPr="00334CC5">
        <w:rPr>
          <w:rFonts w:ascii="Trebuchet MS" w:eastAsiaTheme="minorHAnsi" w:hAnsi="Trebuchet MS" w:cs="Calibri"/>
          <w:color w:val="000000"/>
          <w:sz w:val="20"/>
        </w:rPr>
        <w:t>(11)</w:t>
      </w:r>
      <w:r w:rsidRPr="00334CC5">
        <w:rPr>
          <w:rFonts w:ascii="Trebuchet MS" w:eastAsiaTheme="minorHAnsi" w:hAnsi="Trebuchet MS" w:cs="Calibri"/>
          <w:color w:val="000000"/>
          <w:sz w:val="20"/>
        </w:rPr>
        <w:t> </w:t>
      </w:r>
      <w:r w:rsidRPr="00334CC5">
        <w:rPr>
          <w:rFonts w:ascii="Trebuchet MS" w:eastAsiaTheme="minorHAnsi" w:hAnsi="Trebuchet MS" w:cs="Calibri"/>
          <w:color w:val="000000"/>
          <w:sz w:val="20"/>
        </w:rPr>
        <w:t>“Swimming pool” means any structure, located in a residential area, that is intended for swimming or recreational bathing and contains water over 24 inches deep, including, but not limited to, in-ground, aboveground, and on-ground swimming pools; hot tubs; and nonportable spas.</w:t>
      </w:r>
    </w:p>
    <w:p w:rsidR="00334CC5" w:rsidRPr="00334CC5" w:rsidRDefault="00334CC5" w:rsidP="00334CC5">
      <w:pPr>
        <w:shd w:val="clear" w:color="auto" w:fill="FFFFFF"/>
        <w:spacing w:line="360" w:lineRule="atLeast"/>
        <w:ind w:firstLine="200"/>
        <w:rPr>
          <w:rFonts w:ascii="Trebuchet MS" w:eastAsiaTheme="minorHAnsi" w:hAnsi="Trebuchet MS" w:cs="Calibri"/>
          <w:color w:val="000000"/>
          <w:sz w:val="20"/>
        </w:rPr>
      </w:pPr>
    </w:p>
    <w:p w:rsidR="00334CC5" w:rsidRPr="00334CC5" w:rsidRDefault="00334CC5" w:rsidP="00334CC5">
      <w:pPr>
        <w:shd w:val="clear" w:color="auto" w:fill="FFFFFF"/>
        <w:spacing w:line="360" w:lineRule="atLeast"/>
        <w:ind w:firstLine="200"/>
        <w:rPr>
          <w:rFonts w:ascii="Calibri" w:eastAsiaTheme="minorHAnsi" w:hAnsi="Calibri" w:cs="Calibri"/>
          <w:color w:val="000000"/>
          <w:sz w:val="24"/>
          <w:szCs w:val="24"/>
        </w:rPr>
      </w:pPr>
      <w:r w:rsidRPr="00334CC5">
        <w:rPr>
          <w:rFonts w:ascii="Calibri" w:eastAsiaTheme="minorHAnsi" w:hAnsi="Calibri" w:cs="Calibri"/>
          <w:sz w:val="24"/>
          <w:szCs w:val="24"/>
        </w:rPr>
        <w:t xml:space="preserve">Snipped From </w:t>
      </w:r>
      <w:r w:rsidRPr="00334CC5">
        <w:rPr>
          <w:rFonts w:ascii="Calibri" w:eastAsiaTheme="minorHAnsi" w:hAnsi="Calibri" w:cs="Calibri"/>
          <w:color w:val="000000"/>
          <w:sz w:val="24"/>
          <w:szCs w:val="24"/>
        </w:rPr>
        <w:t>FBC 454.2:</w:t>
      </w:r>
    </w:p>
    <w:p w:rsidR="00334CC5" w:rsidRPr="00334CC5" w:rsidRDefault="006D565A" w:rsidP="00334CC5">
      <w:pPr>
        <w:rPr>
          <w:rFonts w:ascii="Calibri" w:eastAsiaTheme="minorHAnsi" w:hAnsi="Calibri" w:cs="Calibri"/>
          <w:szCs w:val="22"/>
        </w:rPr>
      </w:pPr>
      <w:r>
        <w:rPr>
          <w:noProof/>
        </w:rPr>
        <w:lastRenderedPageBreak/>
        <w:drawing>
          <wp:inline distT="0" distB="0" distL="0" distR="0" wp14:anchorId="3BC957AA" wp14:editId="3634DDE4">
            <wp:extent cx="5810250" cy="5314950"/>
            <wp:effectExtent l="0" t="0" r="0" b="0"/>
            <wp:docPr id="8" name="Picture 8" descr="cid:image002.jpg@01D5EE6E.3D12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EE6E.3D124B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810250" cy="5314950"/>
                    </a:xfrm>
                    <a:prstGeom prst="rect">
                      <a:avLst/>
                    </a:prstGeom>
                    <a:noFill/>
                    <a:ln>
                      <a:noFill/>
                    </a:ln>
                  </pic:spPr>
                </pic:pic>
              </a:graphicData>
            </a:graphic>
          </wp:inline>
        </w:drawing>
      </w:r>
    </w:p>
    <w:p w:rsidR="00334CC5" w:rsidRPr="00334CC5" w:rsidRDefault="00334CC5" w:rsidP="00334CC5">
      <w:pPr>
        <w:spacing w:before="100" w:beforeAutospacing="1" w:after="100" w:afterAutospacing="1"/>
        <w:rPr>
          <w:rFonts w:eastAsiaTheme="minorHAnsi" w:cs="Arial"/>
          <w:color w:val="000080"/>
          <w:sz w:val="15"/>
          <w:szCs w:val="15"/>
        </w:rPr>
      </w:pPr>
      <w:r w:rsidRPr="00334CC5">
        <w:rPr>
          <w:rFonts w:eastAsiaTheme="minorHAnsi" w:cs="Arial"/>
          <w:color w:val="000080"/>
          <w:sz w:val="15"/>
          <w:szCs w:val="15"/>
        </w:rPr>
        <w:t xml:space="preserve">Bob Vincent, R.S., M.P.A., Environmental Administrator, Water Programs, Bureau of Environmental Health, Division of Disease Control and Health Protection, Florida Dept. of Health,  Office phone 850.245.4578, Fax 850.487.0864, 4052 Bald Cypress Way, Bin A-08, Tallahassee, FL 32399-1710  Email: </w:t>
      </w:r>
      <w:hyperlink r:id="rId11" w:history="1">
        <w:r w:rsidRPr="00334CC5">
          <w:rPr>
            <w:rFonts w:eastAsiaTheme="minorHAnsi" w:cs="Arial"/>
            <w:color w:val="0563C1"/>
            <w:sz w:val="15"/>
            <w:szCs w:val="15"/>
            <w:u w:val="single"/>
          </w:rPr>
          <w:t>Bob.Vincent@flhealth.gov</w:t>
        </w:r>
      </w:hyperlink>
      <w:r w:rsidRPr="00334CC5">
        <w:rPr>
          <w:rFonts w:eastAsiaTheme="minorHAnsi" w:cs="Arial"/>
          <w:color w:val="000080"/>
          <w:sz w:val="15"/>
          <w:szCs w:val="15"/>
        </w:rPr>
        <w:t>  Webpage: </w:t>
      </w:r>
      <w:hyperlink r:id="rId12" w:history="1">
        <w:r w:rsidRPr="00334CC5">
          <w:rPr>
            <w:rFonts w:eastAsiaTheme="minorHAnsi" w:cs="Arial"/>
            <w:color w:val="0000FF"/>
            <w:sz w:val="15"/>
            <w:szCs w:val="15"/>
            <w:u w:val="single"/>
          </w:rPr>
          <w:t>http://www.floridahealth.gov/healthy-environments/index.html</w:t>
        </w:r>
      </w:hyperlink>
    </w:p>
    <w:p w:rsidR="00334CC5" w:rsidRPr="00334CC5" w:rsidRDefault="00334CC5" w:rsidP="00334CC5">
      <w:pPr>
        <w:spacing w:before="100" w:beforeAutospacing="1" w:after="100" w:afterAutospacing="1"/>
        <w:rPr>
          <w:rFonts w:eastAsiaTheme="minorHAnsi" w:cs="Arial"/>
          <w:color w:val="000080"/>
          <w:sz w:val="15"/>
          <w:szCs w:val="15"/>
        </w:rPr>
      </w:pPr>
      <w:r w:rsidRPr="00334CC5">
        <w:rPr>
          <w:rFonts w:eastAsiaTheme="minorHAnsi" w:cs="Arial"/>
          <w:sz w:val="15"/>
          <w:szCs w:val="15"/>
        </w:rPr>
        <w:t>Vision: To Be the Healthiest State in the Nation      Mission: To protect, promote and improve the health of all people in Florida through integrated state, county and community efforts.     Florida has a broad public records law which includes written communications.</w:t>
      </w:r>
    </w:p>
    <w:p w:rsidR="00334CC5" w:rsidRPr="00334CC5" w:rsidRDefault="00334CC5" w:rsidP="00334CC5">
      <w:pPr>
        <w:rPr>
          <w:rFonts w:eastAsiaTheme="minorHAnsi" w:cs="Arial"/>
          <w:color w:val="1F497D"/>
          <w:sz w:val="15"/>
          <w:szCs w:val="15"/>
        </w:rPr>
      </w:pPr>
      <w:r w:rsidRPr="00334CC5">
        <w:rPr>
          <w:rFonts w:eastAsiaTheme="minorHAnsi" w:cs="Arial"/>
          <w:color w:val="0000FF"/>
          <w:sz w:val="15"/>
          <w:szCs w:val="15"/>
        </w:rPr>
        <w:t xml:space="preserve">How are we doing? </w:t>
      </w:r>
      <w:hyperlink r:id="rId13" w:history="1">
        <w:r w:rsidRPr="00334CC5">
          <w:rPr>
            <w:rFonts w:eastAsiaTheme="minorHAnsi" w:cs="Arial"/>
            <w:color w:val="0000FF"/>
            <w:sz w:val="15"/>
            <w:szCs w:val="15"/>
            <w:u w:val="single"/>
          </w:rPr>
          <w:t>http://adminappsdoh35.doh.state.fl.us/ContactUs/DOHFeedback.aspx?Email=EnvironmentalHealth@doh.state.fl.us&amp;Office=BureauOfEnvironmentalHealth</w:t>
        </w:r>
      </w:hyperlink>
      <w:r w:rsidRPr="00334CC5">
        <w:rPr>
          <w:rFonts w:eastAsiaTheme="minorHAnsi" w:cs="Arial"/>
          <w:color w:val="1F497D"/>
          <w:sz w:val="15"/>
          <w:szCs w:val="15"/>
        </w:rPr>
        <w:t xml:space="preserve"> </w:t>
      </w:r>
    </w:p>
    <w:p w:rsidR="00334CC5" w:rsidRPr="00334CC5" w:rsidRDefault="00334CC5" w:rsidP="00334CC5">
      <w:pPr>
        <w:rPr>
          <w:rFonts w:eastAsiaTheme="minorHAnsi" w:cs="Arial"/>
          <w:color w:val="1F497D"/>
          <w:sz w:val="15"/>
          <w:szCs w:val="15"/>
        </w:rPr>
      </w:pPr>
    </w:p>
    <w:bookmarkEnd w:id="0"/>
    <w:p w:rsidR="00334CC5" w:rsidRPr="00334CC5" w:rsidRDefault="00334CC5" w:rsidP="00334CC5">
      <w:pPr>
        <w:rPr>
          <w:rFonts w:ascii="Calibri" w:eastAsiaTheme="minorHAnsi" w:hAnsi="Calibri" w:cs="Calibri"/>
          <w:szCs w:val="22"/>
        </w:rPr>
      </w:pPr>
    </w:p>
    <w:p w:rsidR="00334CC5" w:rsidRDefault="00334CC5"/>
    <w:p w:rsidR="00334CC5" w:rsidRDefault="00334CC5"/>
    <w:p w:rsidR="00334CC5" w:rsidRPr="00D661B0" w:rsidRDefault="00334CC5" w:rsidP="00334CC5">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FC1B66">
        <w:rPr>
          <w:rFonts w:eastAsia="Times New Roman" w:cs="Arial"/>
          <w:b/>
          <w:bCs/>
          <w:color w:val="000000"/>
          <w:kern w:val="36"/>
          <w:sz w:val="21"/>
          <w:szCs w:val="21"/>
        </w:rPr>
        <w:t xml:space="preserve"> AS</w:t>
      </w:r>
    </w:p>
    <w:p w:rsidR="00334CC5" w:rsidRDefault="00334CC5" w:rsidP="00334CC5">
      <w:pPr>
        <w:shd w:val="clear" w:color="auto" w:fill="FFFFFF"/>
        <w:outlineLvl w:val="0"/>
        <w:rPr>
          <w:rFonts w:eastAsia="Times New Roman" w:cs="Arial"/>
          <w:bCs/>
          <w:color w:val="000000"/>
          <w:kern w:val="36"/>
          <w:sz w:val="21"/>
          <w:szCs w:val="21"/>
          <w:u w:val="single"/>
        </w:rPr>
      </w:pPr>
    </w:p>
    <w:p w:rsidR="00334CC5" w:rsidRPr="00D661B0" w:rsidRDefault="00334CC5" w:rsidP="00334CC5">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334CC5" w:rsidRDefault="00334CC5"/>
    <w:p w:rsidR="00334CC5" w:rsidRDefault="00334CC5"/>
    <w:p w:rsidR="00334CC5" w:rsidRDefault="00334CC5" w:rsidP="00334CC5"/>
    <w:p w:rsidR="00334CC5" w:rsidRDefault="00334CC5" w:rsidP="00334CC5"/>
    <w:tbl>
      <w:tblPr>
        <w:tblW w:w="9360" w:type="dxa"/>
        <w:tblCellSpacing w:w="0" w:type="dxa"/>
        <w:tblCellMar>
          <w:left w:w="0" w:type="dxa"/>
          <w:right w:w="0" w:type="dxa"/>
        </w:tblCellMar>
        <w:tblLook w:val="04A0" w:firstRow="1" w:lastRow="0" w:firstColumn="1" w:lastColumn="0" w:noHBand="0" w:noVBand="1"/>
      </w:tblPr>
      <w:tblGrid>
        <w:gridCol w:w="9360"/>
      </w:tblGrid>
      <w:tr w:rsidR="00F669DA" w:rsidRPr="00F669DA" w:rsidTr="006E0B19">
        <w:trPr>
          <w:tblCellSpacing w:w="0" w:type="dxa"/>
        </w:trPr>
        <w:tc>
          <w:tcPr>
            <w:tcW w:w="9360" w:type="dxa"/>
            <w:hideMark/>
          </w:tcPr>
          <w:p w:rsidR="00F669DA" w:rsidRPr="00F669DA" w:rsidRDefault="00F669DA" w:rsidP="00CC16DC">
            <w:pPr>
              <w:rPr>
                <w:rFonts w:ascii="Times New Roman" w:eastAsia="Times New Roman" w:hAnsi="Times New Roman"/>
                <w:sz w:val="20"/>
              </w:rPr>
            </w:pPr>
          </w:p>
        </w:tc>
      </w:tr>
    </w:tbl>
    <w:p w:rsidR="00F669DA" w:rsidRPr="00F669DA" w:rsidRDefault="00F669DA" w:rsidP="00F669DA">
      <w:pPr>
        <w:rPr>
          <w:rFonts w:ascii="Calibri" w:eastAsiaTheme="minorHAnsi" w:hAnsi="Calibri" w:cs="Calibri"/>
          <w:szCs w:val="22"/>
        </w:rPr>
      </w:pPr>
    </w:p>
    <w:p w:rsidR="00F669DA" w:rsidRPr="00F669DA" w:rsidRDefault="00F669DA" w:rsidP="00F669DA">
      <w:pPr>
        <w:spacing w:after="160" w:line="252" w:lineRule="auto"/>
        <w:rPr>
          <w:rFonts w:ascii="Calibri" w:eastAsiaTheme="minorHAnsi" w:hAnsi="Calibri" w:cs="Calibri"/>
          <w:szCs w:val="22"/>
        </w:rPr>
      </w:pPr>
    </w:p>
    <w:p w:rsidR="00F669DA" w:rsidRDefault="00F669DA">
      <w:pPr>
        <w:shd w:val="clear" w:color="auto" w:fill="FFFFFF"/>
        <w:outlineLvl w:val="0"/>
        <w:rPr>
          <w:rFonts w:eastAsia="Times New Roman" w:cs="Arial"/>
          <w:bCs/>
          <w:color w:val="000000"/>
          <w:kern w:val="36"/>
          <w:sz w:val="21"/>
          <w:szCs w:val="21"/>
          <w:u w:val="single"/>
        </w:rPr>
      </w:pPr>
    </w:p>
    <w:p w:rsidR="00334CC5" w:rsidRPr="00D661B0" w:rsidRDefault="00334CC5" w:rsidP="00334CC5">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334CC5" w:rsidRDefault="00334CC5"/>
    <w:p w:rsidR="00334CC5" w:rsidRPr="002D2630" w:rsidRDefault="00334CC5">
      <w:pPr>
        <w:rPr>
          <w:b/>
        </w:rPr>
      </w:pPr>
    </w:p>
    <w:p w:rsidR="00334CC5" w:rsidRPr="002D2630" w:rsidRDefault="00334CC5" w:rsidP="00334CC5">
      <w:pPr>
        <w:rPr>
          <w:b/>
          <w:color w:val="FF0000"/>
          <w:szCs w:val="22"/>
          <w:u w:val="single"/>
        </w:rPr>
      </w:pPr>
      <w:r w:rsidRPr="002D2630">
        <w:rPr>
          <w:b/>
          <w:color w:val="FF0000"/>
          <w:szCs w:val="22"/>
          <w:u w:val="single"/>
        </w:rPr>
        <w:t>SW-</w:t>
      </w:r>
      <w:r w:rsidR="00490734" w:rsidRPr="002D2630">
        <w:rPr>
          <w:b/>
          <w:color w:val="FF0000"/>
          <w:szCs w:val="22"/>
          <w:u w:val="single"/>
        </w:rPr>
        <w:t>FBC-</w:t>
      </w:r>
      <w:r w:rsidRPr="002D2630">
        <w:rPr>
          <w:b/>
          <w:color w:val="FF0000"/>
          <w:szCs w:val="22"/>
          <w:u w:val="single"/>
        </w:rPr>
        <w:t>B-</w:t>
      </w:r>
      <w:r w:rsidR="00490734" w:rsidRPr="002D2630">
        <w:rPr>
          <w:b/>
          <w:color w:val="FF0000"/>
          <w:szCs w:val="22"/>
          <w:u w:val="single"/>
        </w:rPr>
        <w:t xml:space="preserve">Ch. 4- </w:t>
      </w:r>
      <w:r w:rsidR="00CC16DC">
        <w:rPr>
          <w:b/>
          <w:color w:val="FF0000"/>
          <w:szCs w:val="22"/>
          <w:u w:val="single"/>
        </w:rPr>
        <w:t>Comment #2</w:t>
      </w:r>
    </w:p>
    <w:p w:rsidR="00334CC5" w:rsidRDefault="00334CC5" w:rsidP="00334CC5"/>
    <w:p w:rsidR="00334CC5" w:rsidRDefault="00334CC5" w:rsidP="00334CC5"/>
    <w:p w:rsidR="00F669DA" w:rsidRPr="00F669DA" w:rsidRDefault="00F669DA" w:rsidP="00F669DA">
      <w:pPr>
        <w:rPr>
          <w:rFonts w:ascii="Tahoma" w:eastAsia="Times New Roman" w:hAnsi="Tahoma" w:cs="Tahoma"/>
          <w:sz w:val="20"/>
        </w:rPr>
      </w:pPr>
      <w:r w:rsidRPr="00F669DA">
        <w:rPr>
          <w:rFonts w:ascii="Tahoma" w:eastAsia="Times New Roman" w:hAnsi="Tahoma" w:cs="Tahoma"/>
          <w:b/>
          <w:bCs/>
          <w:sz w:val="20"/>
        </w:rPr>
        <w:t>From:</w:t>
      </w:r>
      <w:r w:rsidRPr="00F669DA">
        <w:rPr>
          <w:rFonts w:ascii="Tahoma" w:eastAsia="Times New Roman" w:hAnsi="Tahoma" w:cs="Tahoma"/>
          <w:sz w:val="20"/>
        </w:rPr>
        <w:t xml:space="preserve"> Dallas Thiesen [mailto:Dallas@floridapoolpro.com] </w:t>
      </w:r>
      <w:r w:rsidRPr="00F669DA">
        <w:rPr>
          <w:rFonts w:ascii="Tahoma" w:eastAsia="Times New Roman" w:hAnsi="Tahoma" w:cs="Tahoma"/>
          <w:sz w:val="20"/>
        </w:rPr>
        <w:br/>
      </w:r>
      <w:r w:rsidRPr="00F669DA">
        <w:rPr>
          <w:rFonts w:ascii="Tahoma" w:eastAsia="Times New Roman" w:hAnsi="Tahoma" w:cs="Tahoma"/>
          <w:b/>
          <w:bCs/>
          <w:sz w:val="20"/>
        </w:rPr>
        <w:t>Sent:</w:t>
      </w:r>
      <w:r w:rsidRPr="00F669DA">
        <w:rPr>
          <w:rFonts w:ascii="Tahoma" w:eastAsia="Times New Roman" w:hAnsi="Tahoma" w:cs="Tahoma"/>
          <w:sz w:val="20"/>
        </w:rPr>
        <w:t xml:space="preserve"> Friday, February 28, 2020 6:13 PM</w:t>
      </w:r>
      <w:r w:rsidRPr="00F669DA">
        <w:rPr>
          <w:rFonts w:ascii="Tahoma" w:eastAsia="Times New Roman" w:hAnsi="Tahoma" w:cs="Tahoma"/>
          <w:sz w:val="20"/>
        </w:rPr>
        <w:br/>
      </w:r>
      <w:r w:rsidRPr="00F669DA">
        <w:rPr>
          <w:rFonts w:ascii="Tahoma" w:eastAsia="Times New Roman" w:hAnsi="Tahoma" w:cs="Tahoma"/>
          <w:b/>
          <w:bCs/>
          <w:sz w:val="20"/>
        </w:rPr>
        <w:t>To:</w:t>
      </w:r>
      <w:r w:rsidRPr="00F669DA">
        <w:rPr>
          <w:rFonts w:ascii="Tahoma" w:eastAsia="Times New Roman" w:hAnsi="Tahoma" w:cs="Tahoma"/>
          <w:sz w:val="20"/>
        </w:rPr>
        <w:t xml:space="preserve"> Madani, Mo</w:t>
      </w:r>
      <w:r w:rsidRPr="00F669DA">
        <w:rPr>
          <w:rFonts w:ascii="Tahoma" w:eastAsia="Times New Roman" w:hAnsi="Tahoma" w:cs="Tahoma"/>
          <w:sz w:val="20"/>
        </w:rPr>
        <w:br/>
      </w:r>
      <w:r w:rsidRPr="00F669DA">
        <w:rPr>
          <w:rFonts w:ascii="Tahoma" w:eastAsia="Times New Roman" w:hAnsi="Tahoma" w:cs="Tahoma"/>
          <w:b/>
          <w:bCs/>
          <w:sz w:val="20"/>
        </w:rPr>
        <w:t>Cc:</w:t>
      </w:r>
      <w:r w:rsidRPr="00F669DA">
        <w:rPr>
          <w:rFonts w:ascii="Tahoma" w:eastAsia="Times New Roman" w:hAnsi="Tahoma" w:cs="Tahoma"/>
          <w:sz w:val="20"/>
        </w:rPr>
        <w:t xml:space="preserve"> Bob Vincent (Bob.Vincent@flhealth.gov); Michael Weinbaum; KHebrank@carltonfields.com</w:t>
      </w:r>
      <w:r w:rsidRPr="00F669DA">
        <w:rPr>
          <w:rFonts w:ascii="Tahoma" w:eastAsia="Times New Roman" w:hAnsi="Tahoma" w:cs="Tahoma"/>
          <w:sz w:val="20"/>
        </w:rPr>
        <w:br/>
      </w:r>
      <w:r w:rsidRPr="00F669DA">
        <w:rPr>
          <w:rFonts w:ascii="Tahoma" w:eastAsia="Times New Roman" w:hAnsi="Tahoma" w:cs="Tahoma"/>
          <w:b/>
          <w:bCs/>
          <w:sz w:val="20"/>
        </w:rPr>
        <w:t>Subject:</w:t>
      </w:r>
      <w:r w:rsidRPr="00F669DA">
        <w:rPr>
          <w:rFonts w:ascii="Tahoma" w:eastAsia="Times New Roman" w:hAnsi="Tahoma" w:cs="Tahoma"/>
          <w:sz w:val="20"/>
        </w:rPr>
        <w:t xml:space="preserve"> FSPA Comments 1st Integration Draft 2.28.2020</w:t>
      </w:r>
    </w:p>
    <w:p w:rsidR="00F669DA" w:rsidRPr="00F669DA" w:rsidRDefault="00F669DA" w:rsidP="00F669DA">
      <w:pPr>
        <w:rPr>
          <w:rFonts w:ascii="Calibri" w:eastAsiaTheme="minorHAnsi" w:hAnsi="Calibri" w:cs="Calibri"/>
          <w:szCs w:val="22"/>
        </w:rPr>
      </w:pPr>
    </w:p>
    <w:p w:rsidR="00F669DA" w:rsidRPr="00F669DA" w:rsidRDefault="00F669DA" w:rsidP="00F669DA">
      <w:pPr>
        <w:rPr>
          <w:rFonts w:eastAsiaTheme="minorHAnsi" w:cs="Arial"/>
          <w:sz w:val="24"/>
          <w:szCs w:val="24"/>
        </w:rPr>
      </w:pPr>
      <w:r w:rsidRPr="00F669DA">
        <w:rPr>
          <w:rFonts w:eastAsiaTheme="minorHAnsi" w:cs="Arial"/>
          <w:sz w:val="24"/>
          <w:szCs w:val="24"/>
        </w:rPr>
        <w:t xml:space="preserve">Good evening Mo, </w:t>
      </w:r>
    </w:p>
    <w:p w:rsidR="00F669DA" w:rsidRPr="00F669DA" w:rsidRDefault="00F669DA" w:rsidP="00F669DA">
      <w:pPr>
        <w:rPr>
          <w:rFonts w:eastAsiaTheme="minorHAnsi" w:cs="Arial"/>
          <w:sz w:val="24"/>
          <w:szCs w:val="24"/>
        </w:rPr>
      </w:pPr>
    </w:p>
    <w:p w:rsidR="00F669DA" w:rsidRPr="00F669DA" w:rsidRDefault="00F669DA" w:rsidP="00F669DA">
      <w:pPr>
        <w:rPr>
          <w:rFonts w:eastAsiaTheme="minorHAnsi" w:cs="Arial"/>
          <w:sz w:val="24"/>
          <w:szCs w:val="24"/>
        </w:rPr>
      </w:pPr>
      <w:r w:rsidRPr="00F669DA">
        <w:rPr>
          <w:rFonts w:eastAsiaTheme="minorHAnsi" w:cs="Arial"/>
          <w:sz w:val="24"/>
          <w:szCs w:val="24"/>
        </w:rPr>
        <w:t>The below comments and edits represent the work of FSPA and the Florida Public Pool Coalition with specific participation by Bob Vincent from the Florida Department of Health and Aquatic engineer Michael Weinbaum (both cc’d on this e-mail).  </w:t>
      </w:r>
    </w:p>
    <w:p w:rsidR="00F669DA" w:rsidRPr="00F669DA" w:rsidRDefault="00F669DA" w:rsidP="00F669DA">
      <w:pPr>
        <w:rPr>
          <w:rFonts w:ascii="Calibri" w:eastAsiaTheme="minorHAnsi" w:hAnsi="Calibri" w:cs="Calibri"/>
          <w:szCs w:val="22"/>
        </w:rPr>
      </w:pPr>
    </w:p>
    <w:p w:rsidR="00F669DA" w:rsidRPr="00F669DA" w:rsidRDefault="00F669DA" w:rsidP="00F669DA">
      <w:pPr>
        <w:autoSpaceDE w:val="0"/>
        <w:autoSpaceDN w:val="0"/>
        <w:spacing w:before="6"/>
        <w:jc w:val="both"/>
        <w:rPr>
          <w:rFonts w:eastAsiaTheme="minorHAnsi" w:cs="Arial"/>
          <w:b/>
          <w:bCs/>
          <w:sz w:val="28"/>
          <w:szCs w:val="28"/>
          <w:u w:val="single"/>
        </w:rPr>
      </w:pPr>
      <w:r w:rsidRPr="00F669DA">
        <w:rPr>
          <w:rFonts w:eastAsiaTheme="minorHAnsi" w:cs="Arial"/>
          <w:b/>
          <w:bCs/>
          <w:sz w:val="28"/>
          <w:szCs w:val="28"/>
          <w:u w:val="single"/>
        </w:rPr>
        <w:t xml:space="preserve">454.1.1.1 Sizing </w:t>
      </w:r>
    </w:p>
    <w:p w:rsidR="00F669DA" w:rsidRPr="00F669DA" w:rsidRDefault="00F669DA" w:rsidP="00F669DA">
      <w:pPr>
        <w:autoSpaceDE w:val="0"/>
        <w:autoSpaceDN w:val="0"/>
        <w:spacing w:before="6"/>
        <w:jc w:val="both"/>
        <w:rPr>
          <w:rFonts w:eastAsiaTheme="minorHAnsi" w:cs="Arial"/>
          <w:b/>
          <w:bCs/>
          <w:sz w:val="28"/>
          <w:szCs w:val="28"/>
          <w:u w:val="single"/>
        </w:rPr>
      </w:pPr>
    </w:p>
    <w:p w:rsidR="00F669DA" w:rsidRPr="00F669DA" w:rsidRDefault="00F669DA" w:rsidP="00F669DA">
      <w:pPr>
        <w:autoSpaceDE w:val="0"/>
        <w:autoSpaceDN w:val="0"/>
        <w:spacing w:before="6"/>
        <w:jc w:val="both"/>
        <w:rPr>
          <w:rFonts w:eastAsiaTheme="minorHAnsi" w:cs="Arial"/>
          <w:i/>
          <w:iCs/>
          <w:sz w:val="24"/>
          <w:szCs w:val="24"/>
        </w:rPr>
      </w:pPr>
      <w:r w:rsidRPr="00F669DA">
        <w:rPr>
          <w:rFonts w:eastAsiaTheme="minorHAnsi" w:cs="Arial"/>
          <w:i/>
          <w:iCs/>
          <w:sz w:val="24"/>
          <w:szCs w:val="24"/>
          <w:u w:val="single"/>
        </w:rPr>
        <w:t>Explanation:</w:t>
      </w:r>
      <w:r w:rsidRPr="00F669DA">
        <w:rPr>
          <w:rFonts w:eastAsiaTheme="minorHAnsi" w:cs="Arial"/>
          <w:i/>
          <w:iCs/>
          <w:sz w:val="24"/>
          <w:szCs w:val="24"/>
        </w:rPr>
        <w:t xml:space="preserve"> To clarify the new sizing requirements language adopted by the Commission, the clauses of 454.1.1.1 have been rearranged to establish a base line minimum bathing load depending on the facility capacity, then providing the sizing formula. Additionally, language requiring the addition of automated controllers has been added to ensure proper sanitation for pools with high turnover rates under the sizing formula. The blow edits reflect the proposed edits. </w:t>
      </w:r>
    </w:p>
    <w:p w:rsidR="00F669DA" w:rsidRPr="00F669DA" w:rsidRDefault="00F669DA" w:rsidP="00F669DA">
      <w:pPr>
        <w:autoSpaceDE w:val="0"/>
        <w:autoSpaceDN w:val="0"/>
        <w:spacing w:before="6"/>
        <w:jc w:val="both"/>
        <w:rPr>
          <w:rFonts w:eastAsiaTheme="minorHAnsi" w:cs="Arial"/>
          <w:i/>
          <w:iCs/>
          <w:sz w:val="24"/>
          <w:szCs w:val="24"/>
        </w:rPr>
      </w:pPr>
    </w:p>
    <w:p w:rsidR="00F669DA" w:rsidRPr="00F669DA" w:rsidRDefault="00F669DA" w:rsidP="00F669DA">
      <w:pPr>
        <w:autoSpaceDE w:val="0"/>
        <w:autoSpaceDN w:val="0"/>
        <w:spacing w:before="6"/>
        <w:jc w:val="both"/>
        <w:rPr>
          <w:rFonts w:eastAsiaTheme="minorHAnsi" w:cs="Arial"/>
          <w:b/>
          <w:bCs/>
          <w:sz w:val="24"/>
          <w:szCs w:val="24"/>
        </w:rPr>
      </w:pPr>
      <w:r w:rsidRPr="00F669DA">
        <w:rPr>
          <w:rFonts w:eastAsiaTheme="minorHAnsi" w:cs="Arial"/>
          <w:b/>
          <w:bCs/>
          <w:sz w:val="24"/>
          <w:szCs w:val="24"/>
        </w:rPr>
        <w:t xml:space="preserve">454.1.1.1 Sizing </w:t>
      </w:r>
    </w:p>
    <w:p w:rsidR="00F669DA" w:rsidRPr="00F669DA" w:rsidRDefault="00F669DA" w:rsidP="00F669DA">
      <w:pPr>
        <w:spacing w:after="100" w:afterAutospacing="1"/>
        <w:jc w:val="both"/>
        <w:rPr>
          <w:rFonts w:eastAsiaTheme="minorHAnsi" w:cs="Arial"/>
          <w:strike/>
          <w:sz w:val="24"/>
          <w:szCs w:val="24"/>
        </w:rPr>
      </w:pPr>
      <w:r w:rsidRPr="00F669DA">
        <w:rPr>
          <w:rFonts w:eastAsiaTheme="minorHAnsi" w:cs="Arial"/>
          <w:color w:val="FF0000"/>
          <w:sz w:val="24"/>
          <w:szCs w:val="24"/>
          <w:u w:val="single"/>
        </w:rPr>
        <w:t>The pools provided at a transient facility shall be able to</w:t>
      </w:r>
      <w:r w:rsidRPr="00F669DA">
        <w:rPr>
          <w:rFonts w:eastAsiaTheme="minorHAnsi" w:cs="Arial"/>
          <w:color w:val="FF0000"/>
          <w:sz w:val="24"/>
          <w:szCs w:val="24"/>
        </w:rPr>
        <w:t xml:space="preserve"> </w:t>
      </w:r>
      <w:r w:rsidRPr="00F669DA">
        <w:rPr>
          <w:rFonts w:eastAsiaTheme="minorHAnsi" w:cs="Arial"/>
          <w:color w:val="FF0000"/>
          <w:sz w:val="24"/>
          <w:szCs w:val="24"/>
          <w:u w:val="single"/>
        </w:rPr>
        <w:t>accommodate one bather per five living units, while the bathing load at a non-transient facility shall be at least</w:t>
      </w:r>
      <w:r w:rsidRPr="00F669DA">
        <w:rPr>
          <w:rFonts w:eastAsiaTheme="minorHAnsi" w:cs="Arial"/>
          <w:color w:val="FF0000"/>
          <w:sz w:val="24"/>
          <w:szCs w:val="24"/>
        </w:rPr>
        <w:t xml:space="preserve"> </w:t>
      </w:r>
      <w:r w:rsidRPr="00F669DA">
        <w:rPr>
          <w:rFonts w:eastAsiaTheme="minorHAnsi" w:cs="Arial"/>
          <w:color w:val="FF0000"/>
          <w:sz w:val="24"/>
          <w:szCs w:val="24"/>
          <w:u w:val="single"/>
        </w:rPr>
        <w:t>one bather per seven living units.</w:t>
      </w:r>
      <w:r w:rsidRPr="00F669DA">
        <w:rPr>
          <w:rFonts w:eastAsiaTheme="minorHAnsi" w:cs="Arial"/>
          <w:color w:val="FF0000"/>
          <w:sz w:val="24"/>
          <w:szCs w:val="24"/>
        </w:rPr>
        <w:t xml:space="preserve"> Recreational vehicle sites, campsites and boat slips designated for live-aboards shall be considered a transient living unit. For properties with multiple pools, this requirement includes the cumulative total </w:t>
      </w:r>
      <w:r w:rsidRPr="00F669DA">
        <w:rPr>
          <w:rFonts w:eastAsiaTheme="minorHAnsi" w:cs="Arial"/>
          <w:strike/>
          <w:color w:val="FF0000"/>
          <w:sz w:val="24"/>
          <w:szCs w:val="24"/>
        </w:rPr>
        <w:t xml:space="preserve">gpm </w:t>
      </w:r>
      <w:r w:rsidRPr="00F669DA">
        <w:rPr>
          <w:rFonts w:eastAsiaTheme="minorHAnsi" w:cs="Arial"/>
          <w:color w:val="FF0000"/>
          <w:sz w:val="24"/>
          <w:szCs w:val="24"/>
          <w:u w:val="single"/>
        </w:rPr>
        <w:t xml:space="preserve">bathing load </w:t>
      </w:r>
      <w:r w:rsidRPr="00F669DA">
        <w:rPr>
          <w:rFonts w:eastAsiaTheme="minorHAnsi" w:cs="Arial"/>
          <w:color w:val="FF0000"/>
          <w:sz w:val="24"/>
          <w:szCs w:val="24"/>
        </w:rPr>
        <w:t xml:space="preserve">of all swimming pools, </w:t>
      </w:r>
      <w:r w:rsidRPr="00F669DA">
        <w:rPr>
          <w:rFonts w:eastAsiaTheme="minorHAnsi" w:cs="Arial"/>
          <w:strike/>
          <w:color w:val="FF0000"/>
          <w:sz w:val="24"/>
          <w:szCs w:val="24"/>
        </w:rPr>
        <w:t xml:space="preserve">excluding </w:t>
      </w:r>
      <w:r w:rsidRPr="00F669DA">
        <w:rPr>
          <w:rFonts w:eastAsiaTheme="minorHAnsi" w:cs="Arial"/>
          <w:color w:val="FF0000"/>
          <w:sz w:val="24"/>
          <w:szCs w:val="24"/>
        </w:rPr>
        <w:t xml:space="preserve">spas, wading pools and interactive water features. </w:t>
      </w:r>
      <w:r w:rsidRPr="00F669DA">
        <w:rPr>
          <w:rFonts w:eastAsiaTheme="minorHAnsi" w:cs="Arial"/>
          <w:sz w:val="24"/>
          <w:szCs w:val="24"/>
        </w:rPr>
        <w:t xml:space="preserve">The bathing load for conventional swimming pools, wading pools, interactive water features, water activity pools </w:t>
      </w:r>
      <w:r w:rsidRPr="00F669DA">
        <w:rPr>
          <w:rFonts w:eastAsiaTheme="minorHAnsi" w:cs="Arial"/>
          <w:strike/>
          <w:sz w:val="24"/>
          <w:szCs w:val="24"/>
        </w:rPr>
        <w:t xml:space="preserve">less than 24 inches (610 mm) deep </w:t>
      </w:r>
      <w:r w:rsidRPr="00F669DA">
        <w:rPr>
          <w:rFonts w:eastAsiaTheme="minorHAnsi" w:cs="Arial"/>
          <w:sz w:val="24"/>
          <w:szCs w:val="24"/>
        </w:rPr>
        <w:t xml:space="preserve">and special purpose pools shall be computed </w:t>
      </w:r>
      <w:r w:rsidRPr="00F669DA">
        <w:rPr>
          <w:rFonts w:eastAsiaTheme="minorHAnsi" w:cs="Arial"/>
          <w:sz w:val="24"/>
          <w:szCs w:val="24"/>
          <w:u w:val="single"/>
        </w:rPr>
        <w:t xml:space="preserve">either </w:t>
      </w:r>
      <w:r w:rsidRPr="00F669DA">
        <w:rPr>
          <w:rFonts w:eastAsiaTheme="minorHAnsi" w:cs="Arial"/>
          <w:sz w:val="24"/>
          <w:szCs w:val="24"/>
        </w:rPr>
        <w:t>on the basis of one person per 5 gpm (0.32 L/s) of recirculation flow</w:t>
      </w:r>
      <w:r w:rsidRPr="00F669DA">
        <w:rPr>
          <w:rFonts w:eastAsiaTheme="minorHAnsi" w:cs="Arial"/>
          <w:sz w:val="24"/>
          <w:szCs w:val="24"/>
          <w:u w:val="single"/>
        </w:rPr>
        <w:t xml:space="preserve">, or </w:t>
      </w:r>
      <w:r w:rsidRPr="00F669DA">
        <w:rPr>
          <w:rFonts w:eastAsiaTheme="minorHAnsi" w:cs="Arial"/>
          <w:sz w:val="24"/>
          <w:szCs w:val="24"/>
        </w:rPr>
        <w:t>one person per each 20 square feet (</w:t>
      </w:r>
      <w:r w:rsidRPr="00F669DA">
        <w:rPr>
          <w:rFonts w:eastAsiaTheme="minorHAnsi" w:cs="Arial"/>
          <w:strike/>
          <w:sz w:val="24"/>
          <w:szCs w:val="24"/>
        </w:rPr>
        <w:t>0.9</w:t>
      </w:r>
      <w:r w:rsidRPr="00F669DA">
        <w:rPr>
          <w:rFonts w:eastAsiaTheme="minorHAnsi" w:cs="Arial"/>
          <w:color w:val="FF0000"/>
          <w:sz w:val="24"/>
          <w:szCs w:val="24"/>
        </w:rPr>
        <w:t xml:space="preserve"> 1.9</w:t>
      </w:r>
      <w:r w:rsidRPr="00F669DA">
        <w:rPr>
          <w:rFonts w:eastAsiaTheme="minorHAnsi" w:cs="Arial"/>
          <w:sz w:val="24"/>
          <w:szCs w:val="24"/>
        </w:rPr>
        <w:t xml:space="preserve"> m</w:t>
      </w:r>
      <w:r w:rsidRPr="00F669DA">
        <w:rPr>
          <w:rFonts w:eastAsiaTheme="minorHAnsi" w:cs="Arial"/>
          <w:position w:val="6"/>
          <w:sz w:val="24"/>
          <w:szCs w:val="24"/>
        </w:rPr>
        <w:t>2</w:t>
      </w:r>
      <w:r w:rsidRPr="00F669DA">
        <w:rPr>
          <w:rFonts w:eastAsiaTheme="minorHAnsi" w:cs="Arial"/>
          <w:sz w:val="24"/>
          <w:szCs w:val="24"/>
        </w:rPr>
        <w:t xml:space="preserve">) of surface area, </w:t>
      </w:r>
      <w:r w:rsidRPr="00F669DA">
        <w:rPr>
          <w:rFonts w:eastAsiaTheme="minorHAnsi" w:cs="Arial"/>
          <w:sz w:val="24"/>
          <w:szCs w:val="24"/>
          <w:u w:val="single"/>
        </w:rPr>
        <w:t>whichever is less</w:t>
      </w:r>
      <w:r w:rsidRPr="00F669DA">
        <w:rPr>
          <w:rFonts w:eastAsiaTheme="minorHAnsi" w:cs="Arial"/>
          <w:sz w:val="24"/>
          <w:szCs w:val="24"/>
        </w:rPr>
        <w:t>. The bathing load for spa type pools shall be based on one person per each 10 square feet (0.9 m</w:t>
      </w:r>
      <w:r w:rsidRPr="00F669DA">
        <w:rPr>
          <w:rFonts w:eastAsiaTheme="minorHAnsi" w:cs="Arial"/>
          <w:position w:val="6"/>
          <w:sz w:val="24"/>
          <w:szCs w:val="24"/>
        </w:rPr>
        <w:t>2</w:t>
      </w:r>
      <w:r w:rsidRPr="00F669DA">
        <w:rPr>
          <w:rFonts w:eastAsiaTheme="minorHAnsi" w:cs="Arial"/>
          <w:sz w:val="24"/>
          <w:szCs w:val="24"/>
        </w:rPr>
        <w:t xml:space="preserve">) of surface area. </w:t>
      </w:r>
      <w:r w:rsidRPr="00F669DA">
        <w:rPr>
          <w:rFonts w:eastAsiaTheme="minorHAnsi" w:cs="Arial"/>
          <w:strike/>
          <w:sz w:val="24"/>
          <w:szCs w:val="24"/>
        </w:rPr>
        <w:t>The filtration system for swimming pools shall be capable of meeting all other requirements</w:t>
      </w:r>
      <w:r w:rsidRPr="00F669DA">
        <w:rPr>
          <w:rFonts w:eastAsiaTheme="minorHAnsi" w:cs="Arial"/>
          <w:sz w:val="24"/>
          <w:szCs w:val="24"/>
        </w:rPr>
        <w:t xml:space="preserve"> </w:t>
      </w:r>
      <w:r w:rsidRPr="00F669DA">
        <w:rPr>
          <w:rFonts w:eastAsiaTheme="minorHAnsi" w:cs="Arial"/>
          <w:strike/>
          <w:sz w:val="24"/>
          <w:szCs w:val="24"/>
        </w:rPr>
        <w:t>of these rules while providing a flow rate of at least 1 gpm (0.06 L/s) for each living unit at transient facilities</w:t>
      </w:r>
      <w:r w:rsidRPr="00F669DA">
        <w:rPr>
          <w:rFonts w:eastAsiaTheme="minorHAnsi" w:cs="Arial"/>
          <w:sz w:val="24"/>
          <w:szCs w:val="24"/>
        </w:rPr>
        <w:t xml:space="preserve"> </w:t>
      </w:r>
      <w:r w:rsidRPr="00F669DA">
        <w:rPr>
          <w:rFonts w:eastAsiaTheme="minorHAnsi" w:cs="Arial"/>
          <w:strike/>
          <w:color w:val="FF0000"/>
          <w:sz w:val="24"/>
          <w:szCs w:val="24"/>
        </w:rPr>
        <w:t xml:space="preserve">and </w:t>
      </w:r>
      <w:r w:rsidRPr="00F669DA">
        <w:rPr>
          <w:rFonts w:eastAsiaTheme="minorHAnsi" w:cs="Arial"/>
          <w:strike/>
          <w:color w:val="FF0000"/>
          <w:position w:val="6"/>
          <w:sz w:val="24"/>
          <w:szCs w:val="24"/>
        </w:rPr>
        <w:t>3</w:t>
      </w:r>
      <w:r w:rsidRPr="00F669DA">
        <w:rPr>
          <w:rFonts w:eastAsiaTheme="minorHAnsi" w:cs="Arial"/>
          <w:strike/>
          <w:color w:val="FF0000"/>
          <w:sz w:val="24"/>
          <w:szCs w:val="24"/>
        </w:rPr>
        <w:t>/</w:t>
      </w:r>
      <w:r w:rsidRPr="00F669DA">
        <w:rPr>
          <w:rFonts w:eastAsiaTheme="minorHAnsi" w:cs="Arial"/>
          <w:strike/>
          <w:color w:val="FF0000"/>
          <w:position w:val="-1"/>
          <w:sz w:val="24"/>
          <w:szCs w:val="24"/>
        </w:rPr>
        <w:t xml:space="preserve">4   </w:t>
      </w:r>
      <w:r w:rsidRPr="00F669DA">
        <w:rPr>
          <w:rFonts w:eastAsiaTheme="minorHAnsi" w:cs="Arial"/>
          <w:strike/>
          <w:color w:val="FF0000"/>
          <w:sz w:val="24"/>
          <w:szCs w:val="24"/>
        </w:rPr>
        <w:t>gpm (0.04 L/s) at nontransient facilities.</w:t>
      </w:r>
      <w:r w:rsidRPr="00F669DA">
        <w:rPr>
          <w:rFonts w:eastAsiaTheme="minorHAnsi" w:cs="Arial"/>
          <w:color w:val="FF0000"/>
          <w:sz w:val="24"/>
          <w:szCs w:val="24"/>
        </w:rPr>
        <w:t xml:space="preserve"> </w:t>
      </w:r>
      <w:r w:rsidRPr="00F669DA">
        <w:rPr>
          <w:rFonts w:eastAsiaTheme="minorHAnsi" w:cs="Arial"/>
          <w:strike/>
          <w:sz w:val="24"/>
          <w:szCs w:val="24"/>
          <w:u w:val="single"/>
        </w:rPr>
        <w:t>The pools provided at a transient facility shall be able to</w:t>
      </w:r>
      <w:r w:rsidRPr="00F669DA">
        <w:rPr>
          <w:rFonts w:eastAsiaTheme="minorHAnsi" w:cs="Arial"/>
          <w:strike/>
          <w:sz w:val="24"/>
          <w:szCs w:val="24"/>
        </w:rPr>
        <w:t xml:space="preserve"> </w:t>
      </w:r>
      <w:r w:rsidRPr="00F669DA">
        <w:rPr>
          <w:rFonts w:eastAsiaTheme="minorHAnsi" w:cs="Arial"/>
          <w:strike/>
          <w:sz w:val="24"/>
          <w:szCs w:val="24"/>
          <w:u w:val="single"/>
        </w:rPr>
        <w:t>accommodate one bather per five living units, while the bathing load at a non-transient facility shall be at least</w:t>
      </w:r>
      <w:r w:rsidRPr="00F669DA">
        <w:rPr>
          <w:rFonts w:eastAsiaTheme="minorHAnsi" w:cs="Arial"/>
          <w:strike/>
          <w:sz w:val="24"/>
          <w:szCs w:val="24"/>
        </w:rPr>
        <w:t xml:space="preserve"> </w:t>
      </w:r>
      <w:r w:rsidRPr="00F669DA">
        <w:rPr>
          <w:rFonts w:eastAsiaTheme="minorHAnsi" w:cs="Arial"/>
          <w:strike/>
          <w:sz w:val="24"/>
          <w:szCs w:val="24"/>
          <w:u w:val="single"/>
        </w:rPr>
        <w:t>one bather per seven living units.</w:t>
      </w:r>
      <w:r w:rsidRPr="00F669DA">
        <w:rPr>
          <w:rFonts w:eastAsiaTheme="minorHAnsi" w:cs="Arial"/>
          <w:strike/>
          <w:sz w:val="24"/>
          <w:szCs w:val="24"/>
        </w:rPr>
        <w:t xml:space="preserve"> Recreational vehicle sites, campsites and boat slips designated for live-aboards shall be considered a transient living unit. For properties with multiple pools, this requirement includes the cumulative total gpm </w:t>
      </w:r>
      <w:r w:rsidRPr="00F669DA">
        <w:rPr>
          <w:rFonts w:eastAsiaTheme="minorHAnsi" w:cs="Arial"/>
          <w:strike/>
          <w:sz w:val="24"/>
          <w:szCs w:val="24"/>
          <w:u w:val="single"/>
        </w:rPr>
        <w:t xml:space="preserve">bathing load </w:t>
      </w:r>
      <w:r w:rsidRPr="00F669DA">
        <w:rPr>
          <w:rFonts w:eastAsiaTheme="minorHAnsi" w:cs="Arial"/>
          <w:strike/>
          <w:sz w:val="24"/>
          <w:szCs w:val="24"/>
        </w:rPr>
        <w:t xml:space="preserve">of all swimming pools, excluding spas, wading pools and interactive water features.  </w:t>
      </w:r>
      <w:r w:rsidRPr="00F669DA">
        <w:rPr>
          <w:rFonts w:eastAsiaTheme="minorHAnsi" w:cs="Arial"/>
          <w:sz w:val="24"/>
          <w:szCs w:val="24"/>
        </w:rPr>
        <w:t>All other types of projects shall be sized according to the anticipated bathing load and proposed uses</w:t>
      </w:r>
      <w:r w:rsidRPr="00F669DA">
        <w:rPr>
          <w:rFonts w:eastAsiaTheme="minorHAnsi" w:cs="Arial"/>
          <w:color w:val="FF0000"/>
          <w:sz w:val="24"/>
          <w:szCs w:val="24"/>
        </w:rPr>
        <w:t>.</w:t>
      </w:r>
      <w:r w:rsidRPr="00F669DA">
        <w:rPr>
          <w:rFonts w:eastAsiaTheme="minorHAnsi" w:cs="Arial"/>
          <w:strike/>
          <w:sz w:val="24"/>
          <w:szCs w:val="24"/>
        </w:rPr>
        <w:t>,</w:t>
      </w:r>
      <w:r w:rsidRPr="00F669DA">
        <w:rPr>
          <w:rFonts w:eastAsiaTheme="minorHAnsi" w:cs="Arial"/>
          <w:sz w:val="24"/>
          <w:szCs w:val="24"/>
        </w:rPr>
        <w:t xml:space="preserve"> </w:t>
      </w:r>
      <w:bookmarkStart w:id="1" w:name="_Hlk28934554"/>
      <w:r w:rsidRPr="00F669DA">
        <w:rPr>
          <w:rFonts w:eastAsiaTheme="minorHAnsi" w:cs="Arial"/>
          <w:strike/>
          <w:spacing w:val="-3"/>
          <w:sz w:val="24"/>
          <w:szCs w:val="24"/>
        </w:rPr>
        <w:t xml:space="preserve">For </w:t>
      </w:r>
      <w:r w:rsidRPr="00F669DA">
        <w:rPr>
          <w:rFonts w:eastAsiaTheme="minorHAnsi" w:cs="Arial"/>
          <w:strike/>
          <w:sz w:val="24"/>
          <w:szCs w:val="24"/>
        </w:rPr>
        <w:t xml:space="preserve">the purpose </w:t>
      </w:r>
      <w:r w:rsidRPr="00F669DA">
        <w:rPr>
          <w:rFonts w:eastAsiaTheme="minorHAnsi" w:cs="Arial"/>
          <w:strike/>
          <w:sz w:val="24"/>
          <w:szCs w:val="24"/>
        </w:rPr>
        <w:lastRenderedPageBreak/>
        <w:t>of determining minimum pool size only, the pool turnover period used cannot be less than</w:t>
      </w:r>
      <w:r w:rsidRPr="00F669DA">
        <w:rPr>
          <w:rFonts w:eastAsiaTheme="minorHAnsi" w:cs="Arial"/>
          <w:sz w:val="24"/>
          <w:szCs w:val="24"/>
        </w:rPr>
        <w:t xml:space="preserve"> </w:t>
      </w:r>
      <w:r w:rsidRPr="00F669DA">
        <w:rPr>
          <w:rFonts w:eastAsiaTheme="minorHAnsi" w:cs="Arial"/>
          <w:strike/>
          <w:sz w:val="24"/>
          <w:szCs w:val="24"/>
        </w:rPr>
        <w:t xml:space="preserve">3 hours.  </w:t>
      </w:r>
      <w:r w:rsidRPr="00F669DA">
        <w:rPr>
          <w:rFonts w:eastAsiaTheme="minorHAnsi" w:cs="Arial"/>
          <w:strike/>
          <w:sz w:val="24"/>
          <w:szCs w:val="24"/>
          <w:u w:val="single"/>
        </w:rPr>
        <w:t>except pools serving non-transient residential developments of 1,000 units or more can be sized based on 2.5 hours.</w:t>
      </w:r>
      <w:bookmarkEnd w:id="1"/>
      <w:r w:rsidRPr="00F669DA">
        <w:rPr>
          <w:rFonts w:eastAsiaTheme="minorHAnsi" w:cs="Arial"/>
          <w:strike/>
          <w:sz w:val="24"/>
          <w:szCs w:val="24"/>
          <w:u w:val="single"/>
        </w:rPr>
        <w:t xml:space="preserve"> </w:t>
      </w:r>
      <w:r w:rsidRPr="00F669DA">
        <w:rPr>
          <w:rFonts w:eastAsiaTheme="minorHAnsi" w:cs="Arial"/>
          <w:color w:val="FF0000"/>
          <w:sz w:val="24"/>
          <w:szCs w:val="24"/>
        </w:rPr>
        <w:t xml:space="preserve">Where a pool’s turnover rate is calculated to be less than 3 hours, that pool shall comply with Section 454.1.7.9 for automated controllers. </w:t>
      </w:r>
    </w:p>
    <w:p w:rsidR="00F669DA" w:rsidRPr="00F669DA" w:rsidRDefault="00F669DA" w:rsidP="00F669DA">
      <w:pPr>
        <w:overflowPunct w:val="0"/>
        <w:autoSpaceDE w:val="0"/>
        <w:autoSpaceDN w:val="0"/>
        <w:spacing w:after="360"/>
        <w:ind w:right="70"/>
        <w:rPr>
          <w:rFonts w:eastAsiaTheme="minorHAnsi" w:cs="Arial"/>
          <w:b/>
          <w:bCs/>
          <w:sz w:val="24"/>
          <w:szCs w:val="24"/>
        </w:rPr>
      </w:pPr>
    </w:p>
    <w:p w:rsidR="00F669DA" w:rsidRPr="00F669DA" w:rsidRDefault="00F669DA" w:rsidP="00F669DA">
      <w:pPr>
        <w:overflowPunct w:val="0"/>
        <w:autoSpaceDE w:val="0"/>
        <w:autoSpaceDN w:val="0"/>
        <w:spacing w:after="360"/>
        <w:ind w:right="70"/>
        <w:rPr>
          <w:rFonts w:eastAsiaTheme="minorHAnsi" w:cs="Arial"/>
          <w:b/>
          <w:bCs/>
          <w:sz w:val="28"/>
          <w:szCs w:val="28"/>
          <w:u w:val="single"/>
        </w:rPr>
      </w:pPr>
      <w:r w:rsidRPr="00F669DA">
        <w:rPr>
          <w:rFonts w:eastAsiaTheme="minorHAnsi" w:cs="Arial"/>
          <w:b/>
          <w:bCs/>
          <w:sz w:val="28"/>
          <w:szCs w:val="28"/>
          <w:u w:val="single"/>
        </w:rPr>
        <w:t>454.1.9.2.6.2 Filter Performance / 454.1.1 “Plunge Pools” / 454.1.9.2.6.1 Recirculation Rates</w:t>
      </w:r>
    </w:p>
    <w:p w:rsidR="00F669DA" w:rsidRPr="00F669DA" w:rsidRDefault="00F669DA" w:rsidP="00F669DA">
      <w:pPr>
        <w:overflowPunct w:val="0"/>
        <w:autoSpaceDE w:val="0"/>
        <w:autoSpaceDN w:val="0"/>
        <w:spacing w:after="360"/>
        <w:ind w:right="70"/>
        <w:rPr>
          <w:rFonts w:eastAsiaTheme="minorHAnsi" w:cs="Arial"/>
          <w:i/>
          <w:iCs/>
          <w:sz w:val="24"/>
          <w:szCs w:val="24"/>
        </w:rPr>
      </w:pPr>
      <w:r w:rsidRPr="00F669DA">
        <w:rPr>
          <w:rFonts w:eastAsiaTheme="minorHAnsi" w:cs="Arial"/>
          <w:i/>
          <w:iCs/>
          <w:sz w:val="24"/>
          <w:szCs w:val="24"/>
          <w:u w:val="single"/>
        </w:rPr>
        <w:t xml:space="preserve">Explanation: </w:t>
      </w:r>
      <w:r w:rsidRPr="00F669DA">
        <w:rPr>
          <w:rFonts w:eastAsiaTheme="minorHAnsi" w:cs="Arial"/>
          <w:i/>
          <w:iCs/>
          <w:sz w:val="24"/>
          <w:szCs w:val="24"/>
        </w:rPr>
        <w:t xml:space="preserve">The language of 454.1.9.2.6.2 has been edited to clarify the section and accomplish the goals of the adopted modifications. Furthermore, edits to the “Plunge Pool” definition (454.1.1) and the recirculation rate for waterslides (454.1.9.2.6.1) have been edited to ensure that the filter performance requirements can be meet and proper water sanitation can be maintained where are waterslide is present at a swimming pool. </w:t>
      </w:r>
    </w:p>
    <w:p w:rsidR="00F669DA" w:rsidRPr="00F669DA" w:rsidRDefault="00F669DA" w:rsidP="00F669DA">
      <w:pPr>
        <w:overflowPunct w:val="0"/>
        <w:autoSpaceDE w:val="0"/>
        <w:autoSpaceDN w:val="0"/>
        <w:spacing w:after="360"/>
        <w:ind w:right="70"/>
        <w:rPr>
          <w:rFonts w:eastAsiaTheme="minorHAnsi" w:cs="Arial"/>
          <w:color w:val="FF0000"/>
          <w:sz w:val="24"/>
          <w:szCs w:val="24"/>
          <w:u w:val="single"/>
        </w:rPr>
      </w:pPr>
      <w:r w:rsidRPr="00F669DA">
        <w:rPr>
          <w:rFonts w:ascii="Calibri" w:eastAsiaTheme="minorHAnsi" w:hAnsi="Calibri" w:cs="Calibri"/>
          <w:noProof/>
          <w:szCs w:val="22"/>
        </w:rPr>
        <w:drawing>
          <wp:anchor distT="0" distB="0" distL="114300" distR="114300" simplePos="0" relativeHeight="251659264" behindDoc="1" locked="0" layoutInCell="0" allowOverlap="1" wp14:anchorId="5ED90A12" wp14:editId="47643EDD">
            <wp:simplePos x="0" y="0"/>
            <wp:positionH relativeFrom="page">
              <wp:posOffset>1769110</wp:posOffset>
            </wp:positionH>
            <wp:positionV relativeFrom="paragraph">
              <wp:posOffset>97790</wp:posOffset>
            </wp:positionV>
            <wp:extent cx="47625" cy="9525"/>
            <wp:effectExtent l="0" t="0" r="9525" b="9525"/>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reeform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pic:spPr>
                </pic:pic>
              </a:graphicData>
            </a:graphic>
            <wp14:sizeRelH relativeFrom="page">
              <wp14:pctWidth>0</wp14:pctWidth>
            </wp14:sizeRelH>
            <wp14:sizeRelV relativeFrom="page">
              <wp14:pctHeight>0</wp14:pctHeight>
            </wp14:sizeRelV>
          </wp:anchor>
        </w:drawing>
      </w:r>
      <w:r w:rsidRPr="00F669DA">
        <w:rPr>
          <w:rFonts w:eastAsiaTheme="minorHAnsi" w:cs="Arial"/>
          <w:b/>
          <w:bCs/>
          <w:sz w:val="24"/>
          <w:szCs w:val="24"/>
        </w:rPr>
        <w:t xml:space="preserve">454.1.9.2.6.2                   Filter                   </w:t>
      </w:r>
      <w:r w:rsidRPr="00F669DA">
        <w:rPr>
          <w:rFonts w:eastAsiaTheme="minorHAnsi" w:cs="Arial"/>
          <w:b/>
          <w:bCs/>
          <w:strike/>
          <w:sz w:val="24"/>
          <w:szCs w:val="24"/>
        </w:rPr>
        <w:t xml:space="preserve">areas                   </w:t>
      </w:r>
      <w:r w:rsidRPr="00F669DA">
        <w:rPr>
          <w:rFonts w:eastAsiaTheme="minorHAnsi" w:cs="Arial"/>
          <w:b/>
          <w:bCs/>
          <w:sz w:val="24"/>
          <w:szCs w:val="24"/>
          <w:u w:val="single"/>
        </w:rPr>
        <w:t xml:space="preserve">performance                  </w:t>
      </w:r>
      <w:r w:rsidRPr="00F669DA">
        <w:rPr>
          <w:rFonts w:eastAsiaTheme="minorHAnsi" w:cs="Arial"/>
          <w:b/>
          <w:bCs/>
          <w:sz w:val="24"/>
          <w:szCs w:val="24"/>
        </w:rPr>
        <w:t xml:space="preserve">. </w:t>
      </w:r>
      <w:r w:rsidRPr="00F669DA">
        <w:rPr>
          <w:rFonts w:eastAsiaTheme="minorHAnsi" w:cs="Arial"/>
          <w:strike/>
          <w:sz w:val="24"/>
          <w:szCs w:val="24"/>
        </w:rPr>
        <w:t xml:space="preserve">Minimum filter area requirements shall be twice the filter areas specified for the recirculation rates stipulated in Section 454.1.6.5.5.1. </w:t>
      </w:r>
      <w:r w:rsidRPr="00F669DA">
        <w:rPr>
          <w:rFonts w:eastAsiaTheme="minorHAnsi" w:cs="Arial"/>
          <w:strike/>
          <w:sz w:val="24"/>
          <w:szCs w:val="24"/>
          <w:u w:val="single"/>
        </w:rPr>
        <w:t xml:space="preserve">This exception is only applicable to conventional pool recreational slides. </w:t>
      </w:r>
      <w:r w:rsidRPr="00F669DA">
        <w:rPr>
          <w:rFonts w:eastAsiaTheme="minorHAnsi" w:cs="Arial"/>
          <w:sz w:val="24"/>
          <w:szCs w:val="24"/>
        </w:rPr>
        <w:t>The filtration system shall be capable of returning the pool water turbidity to 5/10</w:t>
      </w:r>
      <w:r w:rsidRPr="00F669DA">
        <w:rPr>
          <w:rFonts w:eastAsiaTheme="minorHAnsi" w:cs="Arial"/>
          <w:sz w:val="24"/>
          <w:szCs w:val="24"/>
          <w:u w:val="single"/>
        </w:rPr>
        <w:t xml:space="preserve">ths (0.50) </w:t>
      </w:r>
      <w:r w:rsidRPr="00F669DA">
        <w:rPr>
          <w:rFonts w:eastAsiaTheme="minorHAnsi" w:cs="Arial"/>
          <w:sz w:val="24"/>
          <w:szCs w:val="24"/>
        </w:rPr>
        <w:t xml:space="preserve">NTU within 8 hours or less after peak bather load. </w:t>
      </w:r>
      <w:r w:rsidRPr="00F669DA">
        <w:rPr>
          <w:rFonts w:eastAsiaTheme="minorHAnsi" w:cs="Arial"/>
          <w:sz w:val="24"/>
          <w:szCs w:val="24"/>
          <w:u w:val="single"/>
        </w:rPr>
        <w:t xml:space="preserve">A continuous readout/electronic recording in-line turbidity meter shall be installed and used to determine compliance with this NTU criteria </w:t>
      </w:r>
      <w:r w:rsidRPr="00F669DA">
        <w:rPr>
          <w:rFonts w:eastAsiaTheme="minorHAnsi" w:cs="Arial"/>
          <w:strike/>
          <w:sz w:val="24"/>
          <w:szCs w:val="24"/>
          <w:u w:val="single"/>
        </w:rPr>
        <w:t>whenever the filter area size is optionally not doubled in size.</w:t>
      </w:r>
      <w:r w:rsidRPr="00F669DA">
        <w:rPr>
          <w:rFonts w:eastAsiaTheme="minorHAnsi" w:cs="Arial"/>
          <w:sz w:val="24"/>
          <w:szCs w:val="24"/>
          <w:u w:val="single"/>
        </w:rPr>
        <w:t xml:space="preserve"> </w:t>
      </w:r>
      <w:r w:rsidRPr="00F669DA">
        <w:rPr>
          <w:rFonts w:eastAsiaTheme="minorHAnsi" w:cs="Arial"/>
          <w:color w:val="FF0000"/>
          <w:sz w:val="24"/>
          <w:szCs w:val="24"/>
          <w:u w:val="single"/>
        </w:rPr>
        <w:t xml:space="preserve">, otherwise the turnover rate in the plunge pool’s total water volume, as defined in 454.1.9.2.6.1, must be 1 hour or less. </w:t>
      </w:r>
    </w:p>
    <w:p w:rsidR="00F669DA" w:rsidRPr="00F669DA" w:rsidRDefault="00F669DA" w:rsidP="00F669DA">
      <w:pPr>
        <w:spacing w:after="240"/>
        <w:jc w:val="both"/>
        <w:rPr>
          <w:rFonts w:eastAsiaTheme="minorHAnsi" w:cs="Arial"/>
          <w:color w:val="FF0000"/>
          <w:sz w:val="24"/>
          <w:szCs w:val="24"/>
        </w:rPr>
      </w:pPr>
    </w:p>
    <w:p w:rsidR="00F669DA" w:rsidRPr="00F669DA" w:rsidRDefault="00F669DA" w:rsidP="00F669DA">
      <w:pPr>
        <w:spacing w:after="240"/>
        <w:jc w:val="both"/>
        <w:rPr>
          <w:rFonts w:eastAsiaTheme="minorHAnsi" w:cs="Arial"/>
          <w:b/>
          <w:bCs/>
          <w:sz w:val="24"/>
          <w:szCs w:val="24"/>
        </w:rPr>
      </w:pPr>
      <w:r w:rsidRPr="00F669DA">
        <w:rPr>
          <w:rFonts w:eastAsiaTheme="minorHAnsi" w:cs="Arial"/>
          <w:b/>
          <w:bCs/>
          <w:sz w:val="24"/>
          <w:szCs w:val="24"/>
        </w:rPr>
        <w:t>454.1.1</w:t>
      </w:r>
    </w:p>
    <w:p w:rsidR="00F669DA" w:rsidRPr="00F669DA" w:rsidRDefault="00F669DA" w:rsidP="00F669DA">
      <w:pPr>
        <w:spacing w:after="240"/>
        <w:jc w:val="both"/>
        <w:rPr>
          <w:rFonts w:eastAsiaTheme="minorHAnsi" w:cs="Arial"/>
          <w:sz w:val="24"/>
          <w:szCs w:val="24"/>
          <w:u w:val="single"/>
        </w:rPr>
      </w:pPr>
      <w:r w:rsidRPr="00F669DA">
        <w:rPr>
          <w:rFonts w:eastAsiaTheme="minorHAnsi" w:cs="Arial"/>
          <w:sz w:val="24"/>
          <w:szCs w:val="24"/>
        </w:rPr>
        <w:t xml:space="preserve">“Plunge pool” means the receiving body of water located at the terminus of a recreational water slide </w:t>
      </w:r>
      <w:r w:rsidRPr="00F669DA">
        <w:rPr>
          <w:rFonts w:eastAsiaTheme="minorHAnsi" w:cs="Arial"/>
          <w:sz w:val="24"/>
          <w:szCs w:val="24"/>
          <w:u w:val="single"/>
        </w:rPr>
        <w:t xml:space="preserve">and is dedicated solely for that purpose. </w:t>
      </w:r>
      <w:r w:rsidRPr="00F669DA">
        <w:rPr>
          <w:rFonts w:eastAsiaTheme="minorHAnsi" w:cs="Arial"/>
          <w:strike/>
          <w:sz w:val="24"/>
          <w:szCs w:val="24"/>
          <w:u w:val="single"/>
        </w:rPr>
        <w:t>Conventional public s</w:t>
      </w:r>
      <w:r w:rsidRPr="00F669DA">
        <w:rPr>
          <w:rFonts w:eastAsiaTheme="minorHAnsi" w:cs="Arial"/>
          <w:color w:val="FF0000"/>
          <w:sz w:val="24"/>
          <w:szCs w:val="24"/>
          <w:u w:val="single"/>
        </w:rPr>
        <w:t>S</w:t>
      </w:r>
      <w:r w:rsidRPr="00F669DA">
        <w:rPr>
          <w:rFonts w:eastAsiaTheme="minorHAnsi" w:cs="Arial"/>
          <w:sz w:val="24"/>
          <w:szCs w:val="24"/>
          <w:u w:val="single"/>
        </w:rPr>
        <w:t>wimming pools that are not dedicated as plunge pools that include a recreational water slide as part of the design shall meet the requirements of Section</w:t>
      </w:r>
      <w:r w:rsidRPr="00F669DA">
        <w:rPr>
          <w:rFonts w:eastAsiaTheme="minorHAnsi" w:cs="Arial"/>
          <w:color w:val="FF0000"/>
          <w:sz w:val="24"/>
          <w:szCs w:val="24"/>
        </w:rPr>
        <w:t>s</w:t>
      </w:r>
      <w:r w:rsidRPr="00F669DA">
        <w:rPr>
          <w:rFonts w:eastAsiaTheme="minorHAnsi" w:cs="Arial"/>
          <w:sz w:val="24"/>
          <w:szCs w:val="24"/>
          <w:u w:val="single"/>
        </w:rPr>
        <w:t xml:space="preserve"> </w:t>
      </w:r>
      <w:r w:rsidRPr="00F669DA">
        <w:rPr>
          <w:rFonts w:eastAsiaTheme="minorHAnsi" w:cs="Arial"/>
          <w:strike/>
          <w:sz w:val="24"/>
          <w:szCs w:val="24"/>
          <w:u w:val="single"/>
        </w:rPr>
        <w:t>454.1.9.2</w:t>
      </w:r>
      <w:r w:rsidRPr="00F669DA">
        <w:rPr>
          <w:rFonts w:eastAsiaTheme="minorHAnsi" w:cs="Arial"/>
          <w:sz w:val="24"/>
          <w:szCs w:val="24"/>
          <w:u w:val="single"/>
        </w:rPr>
        <w:t xml:space="preserve"> </w:t>
      </w:r>
      <w:r w:rsidRPr="00F669DA">
        <w:rPr>
          <w:rFonts w:eastAsiaTheme="minorHAnsi" w:cs="Arial"/>
          <w:color w:val="FF0000"/>
          <w:sz w:val="24"/>
          <w:szCs w:val="24"/>
          <w:u w:val="single"/>
        </w:rPr>
        <w:t xml:space="preserve">454.1.1 through 454.1.6.5 and 454.1.9.2 </w:t>
      </w:r>
      <w:r w:rsidRPr="00F669DA">
        <w:rPr>
          <w:rFonts w:eastAsiaTheme="minorHAnsi" w:cs="Arial"/>
          <w:sz w:val="24"/>
          <w:szCs w:val="24"/>
          <w:u w:val="single"/>
        </w:rPr>
        <w:t>with the exception of Sections 454.1.9.2.1.6.1, 454.1.9.2.3</w:t>
      </w:r>
      <w:r w:rsidRPr="00F669DA">
        <w:rPr>
          <w:rFonts w:eastAsiaTheme="minorHAnsi" w:cs="Arial"/>
          <w:strike/>
          <w:sz w:val="24"/>
          <w:szCs w:val="24"/>
          <w:u w:val="single"/>
        </w:rPr>
        <w:t>, and a portion of 454.1.9.2.6.2, which are deemed optional only for conventional pool recreational slides</w:t>
      </w:r>
      <w:r w:rsidRPr="00F669DA">
        <w:rPr>
          <w:rFonts w:eastAsiaTheme="minorHAnsi" w:cs="Arial"/>
          <w:sz w:val="24"/>
          <w:szCs w:val="24"/>
          <w:u w:val="single"/>
        </w:rPr>
        <w:t>.</w:t>
      </w:r>
    </w:p>
    <w:p w:rsidR="00F669DA" w:rsidRPr="00F669DA" w:rsidRDefault="00F669DA" w:rsidP="00F669DA">
      <w:pPr>
        <w:spacing w:after="240"/>
        <w:jc w:val="both"/>
        <w:rPr>
          <w:rFonts w:eastAsiaTheme="minorHAnsi" w:cs="Arial"/>
          <w:b/>
          <w:bCs/>
          <w:sz w:val="24"/>
          <w:szCs w:val="24"/>
        </w:rPr>
      </w:pPr>
    </w:p>
    <w:p w:rsidR="00F669DA" w:rsidRPr="00F669DA" w:rsidRDefault="00F669DA" w:rsidP="00F669DA">
      <w:pPr>
        <w:spacing w:after="240"/>
        <w:jc w:val="both"/>
        <w:rPr>
          <w:rFonts w:eastAsiaTheme="minorHAnsi" w:cs="Arial"/>
          <w:color w:val="FF0000"/>
          <w:sz w:val="24"/>
          <w:szCs w:val="24"/>
        </w:rPr>
      </w:pPr>
      <w:r w:rsidRPr="00F669DA">
        <w:rPr>
          <w:rFonts w:eastAsiaTheme="minorHAnsi" w:cs="Arial"/>
          <w:b/>
          <w:bCs/>
          <w:sz w:val="24"/>
          <w:szCs w:val="24"/>
        </w:rPr>
        <w:t>454.1.9.2.6.1 Recirculation rate.</w:t>
      </w:r>
      <w:r w:rsidRPr="00F669DA">
        <w:rPr>
          <w:rFonts w:eastAsiaTheme="minorHAnsi" w:cs="Arial"/>
          <w:sz w:val="24"/>
          <w:szCs w:val="24"/>
        </w:rPr>
        <w:t xml:space="preserve"> The recirculation-filtration system of water slides shall recirculate and filter a water volume equal to the total water volume of the facility in a period of 2 hours or less. </w:t>
      </w:r>
      <w:r w:rsidRPr="00F669DA">
        <w:rPr>
          <w:rFonts w:eastAsiaTheme="minorHAnsi" w:cs="Arial"/>
          <w:color w:val="FF0000"/>
          <w:sz w:val="24"/>
          <w:szCs w:val="24"/>
        </w:rPr>
        <w:t xml:space="preserve">For swimming pools that are not dedicated as plunge pools, but include a recreational water slide as part of the design, </w:t>
      </w:r>
      <w:r w:rsidRPr="00F669DA">
        <w:rPr>
          <w:rFonts w:eastAsiaTheme="minorHAnsi" w:cs="Arial"/>
          <w:strike/>
          <w:sz w:val="24"/>
          <w:szCs w:val="24"/>
          <w:u w:val="single"/>
        </w:rPr>
        <w:t>T</w:t>
      </w:r>
      <w:r w:rsidRPr="00F669DA">
        <w:rPr>
          <w:rFonts w:eastAsiaTheme="minorHAnsi" w:cs="Arial"/>
          <w:color w:val="FF0000"/>
          <w:sz w:val="24"/>
          <w:szCs w:val="24"/>
          <w:u w:val="single"/>
        </w:rPr>
        <w:t>t</w:t>
      </w:r>
      <w:r w:rsidRPr="00F669DA">
        <w:rPr>
          <w:rFonts w:eastAsiaTheme="minorHAnsi" w:cs="Arial"/>
          <w:sz w:val="24"/>
          <w:szCs w:val="24"/>
          <w:u w:val="single"/>
        </w:rPr>
        <w:t>he total water volume shall include the water in the plunge pool dimensions stipulated by code, plus the slide water.</w:t>
      </w:r>
    </w:p>
    <w:p w:rsidR="00F669DA" w:rsidRPr="00F669DA" w:rsidRDefault="00F669DA" w:rsidP="00F669DA">
      <w:pPr>
        <w:rPr>
          <w:rFonts w:ascii="Calibri" w:eastAsiaTheme="minorHAnsi" w:hAnsi="Calibri" w:cs="Calibri"/>
          <w:szCs w:val="22"/>
        </w:rPr>
      </w:pPr>
    </w:p>
    <w:p w:rsidR="00F669DA" w:rsidRPr="00F669DA" w:rsidRDefault="00F669DA" w:rsidP="00F669DA">
      <w:pPr>
        <w:rPr>
          <w:rFonts w:ascii="Calibri" w:eastAsiaTheme="minorHAnsi" w:hAnsi="Calibri" w:cs="Calibri"/>
          <w:szCs w:val="22"/>
        </w:rPr>
      </w:pP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 xml:space="preserve">Best, </w:t>
      </w:r>
    </w:p>
    <w:p w:rsidR="00F669DA" w:rsidRPr="00F669DA" w:rsidRDefault="00F669DA" w:rsidP="00F669DA">
      <w:pPr>
        <w:rPr>
          <w:rFonts w:ascii="Calibri" w:eastAsiaTheme="minorHAnsi" w:hAnsi="Calibri" w:cs="Calibri"/>
          <w:szCs w:val="22"/>
        </w:rPr>
      </w:pP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lastRenderedPageBreak/>
        <w:t>--</w:t>
      </w:r>
    </w:p>
    <w:p w:rsidR="00F669DA" w:rsidRPr="00F669DA" w:rsidRDefault="00F669DA" w:rsidP="00F669DA">
      <w:pPr>
        <w:rPr>
          <w:rFonts w:ascii="Calibri" w:eastAsiaTheme="minorHAnsi" w:hAnsi="Calibri" w:cs="Calibri"/>
          <w:sz w:val="24"/>
          <w:szCs w:val="24"/>
        </w:rPr>
      </w:pPr>
      <w:r w:rsidRPr="00F669DA">
        <w:rPr>
          <w:rFonts w:ascii="Calibri" w:eastAsiaTheme="minorHAnsi" w:hAnsi="Calibri" w:cs="Calibri"/>
          <w:sz w:val="24"/>
          <w:szCs w:val="24"/>
        </w:rPr>
        <w:t xml:space="preserve">Dallas J. Thiesen            </w:t>
      </w:r>
    </w:p>
    <w:p w:rsidR="00F669DA" w:rsidRPr="00F669DA" w:rsidRDefault="00F669DA" w:rsidP="00F669DA">
      <w:pPr>
        <w:rPr>
          <w:rFonts w:ascii="Calibri" w:eastAsiaTheme="minorHAnsi" w:hAnsi="Calibri" w:cs="Calibri"/>
          <w:sz w:val="24"/>
          <w:szCs w:val="24"/>
        </w:rPr>
      </w:pPr>
      <w:r w:rsidRPr="00F669DA">
        <w:rPr>
          <w:rFonts w:ascii="Calibri" w:eastAsiaTheme="minorHAnsi" w:hAnsi="Calibri" w:cs="Calibri"/>
          <w:sz w:val="24"/>
          <w:szCs w:val="24"/>
        </w:rPr>
        <w:t>Government Affairs Manager</w:t>
      </w:r>
    </w:p>
    <w:p w:rsidR="00F669DA" w:rsidRPr="00F669DA" w:rsidRDefault="00F669DA" w:rsidP="00F669DA">
      <w:pPr>
        <w:rPr>
          <w:rFonts w:ascii="Calibri" w:eastAsiaTheme="minorHAnsi" w:hAnsi="Calibri" w:cs="Calibri"/>
          <w:sz w:val="24"/>
          <w:szCs w:val="24"/>
        </w:rPr>
      </w:pPr>
      <w:r w:rsidRPr="00F669DA">
        <w:rPr>
          <w:rFonts w:ascii="Calibri" w:eastAsiaTheme="minorHAnsi" w:hAnsi="Calibri" w:cs="Calibri"/>
          <w:sz w:val="24"/>
          <w:szCs w:val="24"/>
        </w:rPr>
        <w:t>Florida Swimming Pool Association</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2555 Porter Lake Drive, Suite 106</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Sarasota, FL 34240</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(941) 952-9293 Ext 113</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(941) 404-8327 Cell</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(941) 366-7433 Fax</w:t>
      </w:r>
    </w:p>
    <w:p w:rsidR="00F669DA" w:rsidRPr="00F669DA" w:rsidRDefault="009F441B" w:rsidP="00F669DA">
      <w:pPr>
        <w:rPr>
          <w:rFonts w:ascii="Calibri" w:eastAsiaTheme="minorHAnsi" w:hAnsi="Calibri" w:cs="Calibri"/>
          <w:color w:val="1F497D"/>
          <w:szCs w:val="22"/>
        </w:rPr>
      </w:pPr>
      <w:hyperlink r:id="rId15" w:history="1">
        <w:r w:rsidR="00F669DA" w:rsidRPr="00F669DA">
          <w:rPr>
            <w:rFonts w:ascii="Calibri" w:eastAsiaTheme="minorHAnsi" w:hAnsi="Calibri" w:cs="Calibri"/>
            <w:color w:val="0563C1"/>
            <w:szCs w:val="22"/>
            <w:u w:val="single"/>
          </w:rPr>
          <w:t>www.FloridaPoolPro.com</w:t>
        </w:r>
      </w:hyperlink>
      <w:r w:rsidR="00F669DA" w:rsidRPr="00F669DA">
        <w:rPr>
          <w:rFonts w:ascii="Calibri" w:eastAsiaTheme="minorHAnsi" w:hAnsi="Calibri" w:cs="Calibri"/>
          <w:color w:val="1F497D"/>
          <w:szCs w:val="22"/>
        </w:rPr>
        <w:t xml:space="preserve"> </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noProof/>
          <w:color w:val="0000FF"/>
          <w:szCs w:val="22"/>
        </w:rPr>
        <w:drawing>
          <wp:inline distT="0" distB="0" distL="0" distR="0" wp14:anchorId="6BCC7475" wp14:editId="1D9C93FB">
            <wp:extent cx="228600" cy="228600"/>
            <wp:effectExtent l="0" t="0" r="0" b="0"/>
            <wp:docPr id="16" name="Picture 16" descr="facebook widgi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widgit"/>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669DA">
        <w:rPr>
          <w:rFonts w:ascii="Calibri" w:eastAsiaTheme="minorHAnsi" w:hAnsi="Calibri" w:cs="Calibri"/>
          <w:noProof/>
          <w:color w:val="0000FF"/>
          <w:szCs w:val="22"/>
        </w:rPr>
        <w:drawing>
          <wp:inline distT="0" distB="0" distL="0" distR="0" wp14:anchorId="1AE5D82E" wp14:editId="7EA327EF">
            <wp:extent cx="228600" cy="228600"/>
            <wp:effectExtent l="0" t="0" r="0" b="0"/>
            <wp:docPr id="17" name="Picture 17" descr="twitte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669DA">
        <w:rPr>
          <w:rFonts w:ascii="Calibri" w:eastAsiaTheme="minorHAnsi" w:hAnsi="Calibri" w:cs="Calibri"/>
          <w:noProof/>
          <w:color w:val="0000FF"/>
          <w:szCs w:val="22"/>
        </w:rPr>
        <w:drawing>
          <wp:inline distT="0" distB="0" distL="0" distR="0" wp14:anchorId="54400A1D" wp14:editId="37D0D1FA">
            <wp:extent cx="228600" cy="228600"/>
            <wp:effectExtent l="0" t="0" r="0" b="0"/>
            <wp:docPr id="18" name="Picture 18" descr="linkedi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edin"/>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669DA">
        <w:rPr>
          <w:rFonts w:ascii="Calibri" w:eastAsiaTheme="minorHAnsi" w:hAnsi="Calibri" w:cs="Calibri"/>
          <w:noProof/>
          <w:color w:val="0000FF"/>
          <w:szCs w:val="22"/>
        </w:rPr>
        <w:drawing>
          <wp:inline distT="0" distB="0" distL="0" distR="0" wp14:anchorId="61143CAF" wp14:editId="6068EFBF">
            <wp:extent cx="228600" cy="228600"/>
            <wp:effectExtent l="0" t="0" r="0" b="0"/>
            <wp:docPr id="19" name="Picture 19" descr="24px-l46935-pinterest-button-logo-6527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4px-l46935-pinterest-button-logo-65270"/>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669DA">
        <w:rPr>
          <w:rFonts w:ascii="Calibri" w:eastAsiaTheme="minorHAnsi" w:hAnsi="Calibri" w:cs="Calibri"/>
          <w:noProof/>
          <w:color w:val="0000FF"/>
          <w:szCs w:val="22"/>
        </w:rPr>
        <w:drawing>
          <wp:inline distT="0" distB="0" distL="0" distR="0" wp14:anchorId="34C25AFD" wp14:editId="1F296544">
            <wp:extent cx="228600" cy="228600"/>
            <wp:effectExtent l="0" t="0" r="0" b="0"/>
            <wp:docPr id="20" name="Picture 20" descr="inst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669DA" w:rsidRPr="00F669DA" w:rsidRDefault="00F669DA" w:rsidP="00F669DA">
      <w:pPr>
        <w:rPr>
          <w:rFonts w:ascii="Calibri" w:eastAsiaTheme="minorHAnsi" w:hAnsi="Calibri" w:cs="Calibri"/>
          <w:color w:val="1F497D"/>
          <w:szCs w:val="22"/>
        </w:rPr>
      </w:pP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noProof/>
          <w:szCs w:val="22"/>
        </w:rPr>
        <w:drawing>
          <wp:inline distT="0" distB="0" distL="0" distR="0" wp14:anchorId="121EB4E0" wp14:editId="3F0DC0AE">
            <wp:extent cx="1704975" cy="476250"/>
            <wp:effectExtent l="0" t="0" r="9525" b="0"/>
            <wp:docPr id="21" name="Picture 21" descr="cid:image002.png@01D4442B.14B69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4442B.14B696E0"/>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704975" cy="476250"/>
                    </a:xfrm>
                    <a:prstGeom prst="rect">
                      <a:avLst/>
                    </a:prstGeom>
                    <a:noFill/>
                    <a:ln>
                      <a:noFill/>
                    </a:ln>
                  </pic:spPr>
                </pic:pic>
              </a:graphicData>
            </a:graphic>
          </wp:inline>
        </w:drawing>
      </w:r>
    </w:p>
    <w:p w:rsidR="00F669DA" w:rsidRPr="00F669DA" w:rsidRDefault="00F669DA" w:rsidP="00F669DA">
      <w:pPr>
        <w:rPr>
          <w:rFonts w:ascii="Calibri" w:eastAsiaTheme="minorHAnsi" w:hAnsi="Calibri" w:cs="Calibri"/>
          <w:szCs w:val="22"/>
        </w:rPr>
      </w:pPr>
    </w:p>
    <w:p w:rsidR="00334CC5" w:rsidRDefault="00334CC5" w:rsidP="00334CC5"/>
    <w:p w:rsidR="00334CC5" w:rsidRDefault="00334CC5" w:rsidP="00334CC5"/>
    <w:p w:rsidR="00334CC5" w:rsidRPr="00D661B0" w:rsidRDefault="00334CC5" w:rsidP="00334CC5">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FC1B66">
        <w:rPr>
          <w:rFonts w:eastAsia="Times New Roman" w:cs="Arial"/>
          <w:b/>
          <w:bCs/>
          <w:color w:val="000000"/>
          <w:kern w:val="36"/>
          <w:sz w:val="21"/>
          <w:szCs w:val="21"/>
        </w:rPr>
        <w:t xml:space="preserve"> AS</w:t>
      </w:r>
    </w:p>
    <w:p w:rsidR="00334CC5" w:rsidRDefault="00334CC5" w:rsidP="00334CC5">
      <w:pPr>
        <w:shd w:val="clear" w:color="auto" w:fill="FFFFFF"/>
        <w:outlineLvl w:val="0"/>
        <w:rPr>
          <w:rFonts w:eastAsia="Times New Roman" w:cs="Arial"/>
          <w:bCs/>
          <w:color w:val="000000"/>
          <w:kern w:val="36"/>
          <w:sz w:val="21"/>
          <w:szCs w:val="21"/>
          <w:u w:val="single"/>
        </w:rPr>
      </w:pPr>
    </w:p>
    <w:p w:rsidR="00334CC5" w:rsidRPr="00D661B0" w:rsidRDefault="00334CC5" w:rsidP="00334CC5">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334CC5" w:rsidRDefault="00334CC5" w:rsidP="00334CC5"/>
    <w:p w:rsidR="00F669DA" w:rsidRDefault="00F669DA" w:rsidP="00334CC5"/>
    <w:p w:rsidR="00F669DA" w:rsidRPr="002D2630" w:rsidRDefault="00F669DA" w:rsidP="00F669DA">
      <w:pPr>
        <w:rPr>
          <w:b/>
          <w:color w:val="FF0000"/>
          <w:szCs w:val="22"/>
          <w:u w:val="single"/>
        </w:rPr>
      </w:pPr>
      <w:r w:rsidRPr="002D2630">
        <w:rPr>
          <w:b/>
          <w:color w:val="FF0000"/>
          <w:szCs w:val="22"/>
          <w:u w:val="single"/>
        </w:rPr>
        <w:t>SW-</w:t>
      </w:r>
      <w:r w:rsidR="00490734" w:rsidRPr="002D2630">
        <w:rPr>
          <w:b/>
          <w:color w:val="FF0000"/>
          <w:szCs w:val="22"/>
          <w:u w:val="single"/>
        </w:rPr>
        <w:t>FBC-</w:t>
      </w:r>
      <w:r w:rsidRPr="002D2630">
        <w:rPr>
          <w:b/>
          <w:color w:val="FF0000"/>
          <w:szCs w:val="22"/>
          <w:u w:val="single"/>
        </w:rPr>
        <w:t>B-</w:t>
      </w:r>
      <w:r w:rsidR="00490734" w:rsidRPr="002D2630">
        <w:rPr>
          <w:b/>
          <w:color w:val="FF0000"/>
          <w:szCs w:val="22"/>
          <w:u w:val="single"/>
        </w:rPr>
        <w:t xml:space="preserve">Ch. 4 - </w:t>
      </w:r>
      <w:r w:rsidR="00CC16DC">
        <w:rPr>
          <w:b/>
          <w:color w:val="FF0000"/>
          <w:szCs w:val="22"/>
          <w:u w:val="single"/>
        </w:rPr>
        <w:t>Comment #3</w:t>
      </w:r>
    </w:p>
    <w:p w:rsidR="00F669DA" w:rsidRDefault="00F669DA" w:rsidP="00F669DA"/>
    <w:p w:rsidR="00F669DA" w:rsidRDefault="00F669DA" w:rsidP="00F669DA"/>
    <w:p w:rsidR="00F669DA" w:rsidRPr="00F669DA" w:rsidRDefault="00F669DA" w:rsidP="00F669DA">
      <w:pPr>
        <w:rPr>
          <w:rFonts w:ascii="Tahoma" w:eastAsia="Times New Roman" w:hAnsi="Tahoma" w:cs="Tahoma"/>
          <w:sz w:val="20"/>
        </w:rPr>
      </w:pPr>
      <w:r w:rsidRPr="00F669DA">
        <w:rPr>
          <w:rFonts w:ascii="Tahoma" w:eastAsia="Times New Roman" w:hAnsi="Tahoma" w:cs="Tahoma"/>
          <w:b/>
          <w:bCs/>
          <w:sz w:val="20"/>
        </w:rPr>
        <w:t>From:</w:t>
      </w:r>
      <w:r w:rsidRPr="00F669DA">
        <w:rPr>
          <w:rFonts w:ascii="Tahoma" w:eastAsia="Times New Roman" w:hAnsi="Tahoma" w:cs="Tahoma"/>
          <w:sz w:val="20"/>
        </w:rPr>
        <w:t xml:space="preserve"> Jennifer Hatfield [mailto:jhatfield@phta.org] </w:t>
      </w:r>
      <w:r w:rsidRPr="00F669DA">
        <w:rPr>
          <w:rFonts w:ascii="Tahoma" w:eastAsia="Times New Roman" w:hAnsi="Tahoma" w:cs="Tahoma"/>
          <w:sz w:val="20"/>
        </w:rPr>
        <w:br/>
      </w:r>
      <w:r w:rsidRPr="00F669DA">
        <w:rPr>
          <w:rFonts w:ascii="Tahoma" w:eastAsia="Times New Roman" w:hAnsi="Tahoma" w:cs="Tahoma"/>
          <w:b/>
          <w:bCs/>
          <w:sz w:val="20"/>
        </w:rPr>
        <w:t>Sent:</w:t>
      </w:r>
      <w:r w:rsidRPr="00F669DA">
        <w:rPr>
          <w:rFonts w:ascii="Tahoma" w:eastAsia="Times New Roman" w:hAnsi="Tahoma" w:cs="Tahoma"/>
          <w:sz w:val="20"/>
        </w:rPr>
        <w:t xml:space="preserve"> Friday, February 28, 2020 5:07 PM</w:t>
      </w:r>
      <w:r w:rsidRPr="00F669DA">
        <w:rPr>
          <w:rFonts w:ascii="Tahoma" w:eastAsia="Times New Roman" w:hAnsi="Tahoma" w:cs="Tahoma"/>
          <w:sz w:val="20"/>
        </w:rPr>
        <w:br/>
      </w:r>
      <w:r w:rsidRPr="00F669DA">
        <w:rPr>
          <w:rFonts w:ascii="Tahoma" w:eastAsia="Times New Roman" w:hAnsi="Tahoma" w:cs="Tahoma"/>
          <w:b/>
          <w:bCs/>
          <w:sz w:val="20"/>
        </w:rPr>
        <w:t>To:</w:t>
      </w:r>
      <w:r w:rsidRPr="00F669DA">
        <w:rPr>
          <w:rFonts w:ascii="Tahoma" w:eastAsia="Times New Roman" w:hAnsi="Tahoma" w:cs="Tahoma"/>
          <w:sz w:val="20"/>
        </w:rPr>
        <w:t xml:space="preserve"> Madani, Mo</w:t>
      </w:r>
      <w:r w:rsidRPr="00F669DA">
        <w:rPr>
          <w:rFonts w:ascii="Tahoma" w:eastAsia="Times New Roman" w:hAnsi="Tahoma" w:cs="Tahoma"/>
          <w:sz w:val="20"/>
        </w:rPr>
        <w:br/>
      </w:r>
      <w:r w:rsidRPr="00F669DA">
        <w:rPr>
          <w:rFonts w:ascii="Tahoma" w:eastAsia="Times New Roman" w:hAnsi="Tahoma" w:cs="Tahoma"/>
          <w:b/>
          <w:bCs/>
          <w:sz w:val="20"/>
        </w:rPr>
        <w:t>Subject:</w:t>
      </w:r>
      <w:r w:rsidRPr="00F669DA">
        <w:rPr>
          <w:rFonts w:ascii="Tahoma" w:eastAsia="Times New Roman" w:hAnsi="Tahoma" w:cs="Tahoma"/>
          <w:sz w:val="20"/>
        </w:rPr>
        <w:t xml:space="preserve"> written comments</w:t>
      </w:r>
    </w:p>
    <w:p w:rsidR="00F669DA" w:rsidRPr="00F669DA" w:rsidRDefault="00F669DA" w:rsidP="00F669DA">
      <w:pPr>
        <w:rPr>
          <w:rFonts w:ascii="Calibri" w:eastAsiaTheme="minorHAnsi" w:hAnsi="Calibri" w:cs="Calibri"/>
          <w:sz w:val="24"/>
          <w:szCs w:val="24"/>
        </w:rPr>
      </w:pP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Mo – in reviewing the latest action by the Pool TAC and Commission, found on the Post-Workshop February 11, 2020 documents, we understand that the language as it stands now for the following section would read as follows:</w:t>
      </w:r>
    </w:p>
    <w:p w:rsidR="00F669DA" w:rsidRPr="00F669DA" w:rsidRDefault="00F669DA" w:rsidP="00F669DA">
      <w:pPr>
        <w:rPr>
          <w:rFonts w:ascii="Calibri" w:eastAsiaTheme="minorHAnsi" w:hAnsi="Calibri" w:cs="Calibri"/>
          <w:szCs w:val="22"/>
        </w:rPr>
      </w:pP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FF0000"/>
          <w:szCs w:val="22"/>
        </w:rPr>
        <w:t>454.1.9.8.6.3</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FF0000"/>
          <w:szCs w:val="22"/>
        </w:rPr>
        <w:t>In lieu of Section 454.1.9.8.6.1, the recirculation system must be designed to continuously return 100 percent of the water to the collector tank after all (100 percent) of the water is first filtered and treated with disinfectant and pH adjustment chemicals; the final treatment shall be provided by a validated UV disinfectant unit described in Section 454.1.6.5.16.6, on each feature pump, before any of this treated water is piped to the water features.(Note: UV flow capacity must meet the feature pump(s) flow capacity).</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000000"/>
          <w:szCs w:val="22"/>
        </w:rPr>
        <w:t> </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000000"/>
          <w:szCs w:val="22"/>
        </w:rPr>
        <w:t>We believe there may have been an error in that the disinfectant treatment is done prior to the UV treatment, which is opposite of the order in 454.1.9.8.6.1.  The final language on that code change we understand reads as follows:</w:t>
      </w:r>
    </w:p>
    <w:p w:rsidR="00F669DA" w:rsidRPr="00F669DA" w:rsidRDefault="00F669DA" w:rsidP="00F669DA">
      <w:pPr>
        <w:rPr>
          <w:rFonts w:ascii="Calibri" w:eastAsiaTheme="minorHAnsi" w:hAnsi="Calibri" w:cs="Calibri"/>
          <w:color w:val="000000"/>
          <w:szCs w:val="22"/>
        </w:rPr>
      </w:pPr>
      <w:bookmarkStart w:id="2" w:name="_Hlk532290028"/>
    </w:p>
    <w:p w:rsidR="00F669DA" w:rsidRPr="00F669DA" w:rsidRDefault="00F669DA" w:rsidP="00F669DA">
      <w:pPr>
        <w:rPr>
          <w:rFonts w:ascii="Calibri" w:eastAsiaTheme="minorHAnsi" w:hAnsi="Calibri" w:cs="Calibri"/>
          <w:color w:val="FF0000"/>
          <w:szCs w:val="22"/>
        </w:rPr>
      </w:pPr>
      <w:r w:rsidRPr="00F669DA">
        <w:rPr>
          <w:rFonts w:ascii="Calibri" w:eastAsiaTheme="minorHAnsi" w:hAnsi="Calibri" w:cs="Calibri"/>
          <w:color w:val="FF0000"/>
          <w:szCs w:val="22"/>
        </w:rPr>
        <w:t>454.1.9.8.6.1</w:t>
      </w:r>
    </w:p>
    <w:p w:rsidR="00F669DA" w:rsidRPr="00F669DA" w:rsidRDefault="00F669DA" w:rsidP="00F669DA">
      <w:pPr>
        <w:rPr>
          <w:rFonts w:ascii="Calibri" w:eastAsiaTheme="minorHAnsi" w:hAnsi="Calibri" w:cs="Calibri"/>
          <w:color w:val="FF0000"/>
          <w:szCs w:val="22"/>
        </w:rPr>
      </w:pPr>
      <w:r w:rsidRPr="00F669DA">
        <w:rPr>
          <w:rFonts w:ascii="Calibri" w:eastAsiaTheme="minorHAnsi" w:hAnsi="Calibri" w:cs="Calibri"/>
          <w:color w:val="FF0000"/>
          <w:szCs w:val="22"/>
        </w:rPr>
        <w:t>All (100 percent) of the water from the collector tank must be first filtered, treated </w:t>
      </w:r>
      <w:r w:rsidRPr="00F669DA">
        <w:rPr>
          <w:rFonts w:ascii="Calibri" w:eastAsiaTheme="minorHAnsi" w:hAnsi="Calibri" w:cs="Calibri"/>
          <w:strike/>
          <w:color w:val="FF0000"/>
          <w:szCs w:val="22"/>
        </w:rPr>
        <w:t>with</w:t>
      </w:r>
      <w:r w:rsidRPr="00F669DA">
        <w:rPr>
          <w:rFonts w:ascii="Calibri" w:eastAsiaTheme="minorHAnsi" w:hAnsi="Calibri" w:cs="Calibri"/>
          <w:color w:val="FF0000"/>
          <w:szCs w:val="22"/>
        </w:rPr>
        <w:t> </w:t>
      </w:r>
      <w:r w:rsidRPr="00F669DA">
        <w:rPr>
          <w:rFonts w:ascii="Calibri" w:eastAsiaTheme="minorHAnsi" w:hAnsi="Calibri" w:cs="Calibri"/>
          <w:color w:val="FF0000"/>
          <w:szCs w:val="22"/>
          <w:u w:val="single"/>
        </w:rPr>
        <w:t>by an NSF Standard 50 certified UV disinfection unit with a minimum 40 mJ/cm2 dose, and then final treatment provided by</w:t>
      </w:r>
      <w:r w:rsidRPr="00F669DA">
        <w:rPr>
          <w:rFonts w:ascii="Calibri" w:eastAsiaTheme="minorHAnsi" w:hAnsi="Calibri" w:cs="Calibri"/>
          <w:color w:val="FF0000"/>
          <w:szCs w:val="22"/>
        </w:rPr>
        <w:t> disinfectant </w:t>
      </w:r>
      <w:r w:rsidRPr="00F669DA">
        <w:rPr>
          <w:rFonts w:ascii="Calibri" w:eastAsiaTheme="minorHAnsi" w:hAnsi="Calibri" w:cs="Calibri"/>
          <w:strike/>
          <w:color w:val="FF0000"/>
          <w:szCs w:val="22"/>
        </w:rPr>
        <w:t>and pH</w:t>
      </w:r>
      <w:r w:rsidRPr="00F669DA">
        <w:rPr>
          <w:rFonts w:ascii="Calibri" w:eastAsiaTheme="minorHAnsi" w:hAnsi="Calibri" w:cs="Calibri"/>
          <w:color w:val="FF0000"/>
          <w:szCs w:val="22"/>
        </w:rPr>
        <w:t> adjustment chemicals</w:t>
      </w:r>
      <w:r w:rsidRPr="00F669DA">
        <w:rPr>
          <w:rFonts w:ascii="Calibri" w:eastAsiaTheme="minorHAnsi" w:hAnsi="Calibri" w:cs="Calibri"/>
          <w:strike/>
          <w:color w:val="FF0000"/>
          <w:szCs w:val="22"/>
        </w:rPr>
        <w:t>, and then final treatment provided by an NSF Standard 50 certified UV disinfection unit with a minimum 40 mJ/cm2 dose</w:t>
      </w:r>
      <w:r w:rsidRPr="00F669DA">
        <w:rPr>
          <w:rFonts w:ascii="Calibri" w:eastAsiaTheme="minorHAnsi" w:hAnsi="Calibri" w:cs="Calibri"/>
          <w:color w:val="FF0000"/>
          <w:szCs w:val="22"/>
        </w:rPr>
        <w:t> before any of this treated water is piped to the water features.</w:t>
      </w:r>
      <w:bookmarkEnd w:id="2"/>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FF0000"/>
          <w:szCs w:val="22"/>
        </w:rPr>
        <w:t> </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lastRenderedPageBreak/>
        <w:t>If the above language is not how these sections would currently read in the 7</w:t>
      </w:r>
      <w:r w:rsidRPr="00F669DA">
        <w:rPr>
          <w:rFonts w:ascii="Calibri" w:eastAsiaTheme="minorHAnsi" w:hAnsi="Calibri" w:cs="Calibri"/>
          <w:szCs w:val="22"/>
          <w:vertAlign w:val="superscript"/>
        </w:rPr>
        <w:t>th</w:t>
      </w:r>
      <w:r w:rsidRPr="00F669DA">
        <w:rPr>
          <w:rFonts w:ascii="Calibri" w:eastAsiaTheme="minorHAnsi" w:hAnsi="Calibri" w:cs="Calibri"/>
          <w:szCs w:val="22"/>
        </w:rPr>
        <w:t xml:space="preserve"> edition, please provide the correct language as it may make this comment for the Commission’s consideration a moot point.  But to ensure the opportunity to provide what we see as a correction in order, the Pool &amp; Hot Tub Alliance provides the following for consideration by the Commission:</w:t>
      </w:r>
    </w:p>
    <w:p w:rsidR="00F669DA" w:rsidRPr="00F669DA" w:rsidRDefault="00F669DA" w:rsidP="00F669DA">
      <w:pPr>
        <w:rPr>
          <w:rFonts w:ascii="Calibri" w:eastAsiaTheme="minorHAnsi" w:hAnsi="Calibri" w:cs="Calibri"/>
          <w:color w:val="000000"/>
          <w:szCs w:val="22"/>
        </w:rPr>
      </w:pP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FF0000"/>
          <w:szCs w:val="22"/>
        </w:rPr>
        <w:t>454.1.9.8.6.3</w:t>
      </w:r>
      <w:r w:rsidRPr="00F669DA">
        <w:rPr>
          <w:rFonts w:ascii="Calibri" w:eastAsiaTheme="minorHAnsi" w:hAnsi="Calibri" w:cs="Calibri"/>
          <w:color w:val="000000"/>
          <w:szCs w:val="22"/>
        </w:rPr>
        <w:t> </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FF0000"/>
          <w:szCs w:val="22"/>
        </w:rPr>
        <w:t>In lieu of Section 454.1.9.8.6.1, the recirculation system must be designed to continuously return 100 percent of the water to the collector tank after all (100 percent) of the water is first filtered</w:t>
      </w:r>
      <w:r w:rsidRPr="00F669DA">
        <w:rPr>
          <w:rFonts w:ascii="Calibri" w:eastAsiaTheme="minorHAnsi" w:hAnsi="Calibri" w:cs="Calibri"/>
          <w:color w:val="000000"/>
          <w:szCs w:val="22"/>
          <w:u w:val="single"/>
        </w:rPr>
        <w:t xml:space="preserve">, treated by </w:t>
      </w:r>
      <w:r w:rsidRPr="00FC1B66">
        <w:rPr>
          <w:rFonts w:ascii="Calibri" w:eastAsiaTheme="minorHAnsi" w:hAnsi="Calibri" w:cs="Calibri"/>
          <w:color w:val="000000"/>
          <w:szCs w:val="22"/>
          <w:u w:val="single"/>
        </w:rPr>
        <w:t xml:space="preserve">a </w:t>
      </w:r>
      <w:r w:rsidRPr="00FC1B66">
        <w:rPr>
          <w:rFonts w:ascii="Calibri" w:eastAsiaTheme="minorHAnsi" w:hAnsi="Calibri" w:cs="Calibri"/>
          <w:strike/>
          <w:color w:val="000000"/>
          <w:szCs w:val="22"/>
          <w:u w:val="single"/>
        </w:rPr>
        <w:t>NSF Standard 50 certified</w:t>
      </w:r>
      <w:r w:rsidRPr="00F669DA">
        <w:rPr>
          <w:rFonts w:ascii="Calibri" w:eastAsiaTheme="minorHAnsi" w:hAnsi="Calibri" w:cs="Calibri"/>
          <w:color w:val="000000"/>
          <w:szCs w:val="22"/>
          <w:u w:val="single"/>
        </w:rPr>
        <w:t xml:space="preserve"> </w:t>
      </w:r>
      <w:r w:rsidR="00FC1B66">
        <w:rPr>
          <w:rFonts w:ascii="Calibri" w:eastAsiaTheme="minorHAnsi" w:hAnsi="Calibri" w:cs="Calibri"/>
          <w:color w:val="FF0000"/>
          <w:szCs w:val="22"/>
          <w:u w:val="single"/>
        </w:rPr>
        <w:t xml:space="preserve"> validated </w:t>
      </w:r>
      <w:r w:rsidRPr="00F669DA">
        <w:rPr>
          <w:rFonts w:ascii="Calibri" w:eastAsiaTheme="minorHAnsi" w:hAnsi="Calibri" w:cs="Calibri"/>
          <w:color w:val="000000"/>
          <w:szCs w:val="22"/>
          <w:u w:val="single"/>
        </w:rPr>
        <w:t>UV disinfection unit with a minimum 40mJ/cm2 dose described in Section 454.1.6.5.16.6, on each feature pump,</w:t>
      </w:r>
      <w:r w:rsidRPr="00F669DA">
        <w:rPr>
          <w:rFonts w:ascii="Calibri" w:eastAsiaTheme="minorHAnsi" w:hAnsi="Calibri" w:cs="Calibri"/>
          <w:color w:val="000000"/>
          <w:szCs w:val="22"/>
        </w:rPr>
        <w:t> </w:t>
      </w:r>
      <w:r w:rsidRPr="00F669DA">
        <w:rPr>
          <w:rFonts w:ascii="Calibri" w:eastAsiaTheme="minorHAnsi" w:hAnsi="Calibri" w:cs="Calibri"/>
          <w:color w:val="FF0000"/>
          <w:szCs w:val="22"/>
        </w:rPr>
        <w:t>and </w:t>
      </w:r>
      <w:r w:rsidRPr="00F669DA">
        <w:rPr>
          <w:rFonts w:ascii="Calibri" w:eastAsiaTheme="minorHAnsi" w:hAnsi="Calibri" w:cs="Calibri"/>
          <w:color w:val="000000"/>
          <w:szCs w:val="22"/>
          <w:u w:val="single"/>
        </w:rPr>
        <w:t>then final treatment </w:t>
      </w:r>
      <w:r w:rsidRPr="00F669DA">
        <w:rPr>
          <w:rFonts w:ascii="Calibri" w:eastAsiaTheme="minorHAnsi" w:hAnsi="Calibri" w:cs="Calibri"/>
          <w:strike/>
          <w:color w:val="FF0000"/>
          <w:szCs w:val="22"/>
        </w:rPr>
        <w:t>treated</w:t>
      </w:r>
      <w:r w:rsidRPr="00F669DA">
        <w:rPr>
          <w:rFonts w:ascii="Calibri" w:eastAsiaTheme="minorHAnsi" w:hAnsi="Calibri" w:cs="Calibri"/>
          <w:color w:val="FF0000"/>
          <w:szCs w:val="22"/>
        </w:rPr>
        <w:t> with disinfectant and pH adjustment chemicals; </w:t>
      </w:r>
      <w:r w:rsidRPr="00F669DA">
        <w:rPr>
          <w:rFonts w:ascii="Calibri" w:eastAsiaTheme="minorHAnsi" w:hAnsi="Calibri" w:cs="Calibri"/>
          <w:strike/>
          <w:color w:val="FF0000"/>
          <w:szCs w:val="22"/>
        </w:rPr>
        <w:t>the final treatment shall be provided by a validated UV disinfectant unit described in Section 454.1.6.5.16.6, on each feature pump,</w:t>
      </w:r>
      <w:r w:rsidRPr="00F669DA">
        <w:rPr>
          <w:rFonts w:ascii="Calibri" w:eastAsiaTheme="minorHAnsi" w:hAnsi="Calibri" w:cs="Calibri"/>
          <w:color w:val="FF0000"/>
          <w:szCs w:val="22"/>
        </w:rPr>
        <w:t> before any of this treated water is piped to the water features.</w:t>
      </w:r>
      <w:r w:rsidRPr="00F669DA">
        <w:rPr>
          <w:rFonts w:ascii="Calibri" w:eastAsiaTheme="minorHAnsi" w:hAnsi="Calibri" w:cs="Calibri"/>
          <w:color w:val="000000"/>
          <w:szCs w:val="22"/>
        </w:rPr>
        <w:t> </w:t>
      </w:r>
      <w:r w:rsidRPr="00F669DA">
        <w:rPr>
          <w:rFonts w:ascii="Calibri" w:eastAsiaTheme="minorHAnsi" w:hAnsi="Calibri" w:cs="Calibri"/>
          <w:color w:val="FF0000"/>
          <w:szCs w:val="22"/>
        </w:rPr>
        <w:t>(Note: UV flow capacity must meet the feature pump(s) flow capacity).</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000000"/>
          <w:szCs w:val="22"/>
        </w:rPr>
        <w:t> </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b/>
          <w:bCs/>
          <w:szCs w:val="22"/>
        </w:rPr>
        <w:t>Reasoning for the proposed change:</w:t>
      </w:r>
      <w:r w:rsidRPr="00F669DA">
        <w:rPr>
          <w:rFonts w:ascii="Calibri" w:eastAsiaTheme="minorHAnsi" w:hAnsi="Calibri" w:cs="Calibri"/>
          <w:szCs w:val="22"/>
        </w:rPr>
        <w:t xml:space="preserve"> If you treat with disinfectant and then UV, the question is do you have sufficient residuals in the tank for the water feature. It is safer to require the UV first and chemicals/disinfectant last.  This is the order required in Section 454.1.9.8.6.1 of the Code.</w:t>
      </w:r>
    </w:p>
    <w:p w:rsidR="00F669DA" w:rsidRPr="00F669DA" w:rsidRDefault="00F669DA" w:rsidP="00F669DA">
      <w:pPr>
        <w:rPr>
          <w:rFonts w:ascii="Calibri" w:eastAsiaTheme="minorHAnsi" w:hAnsi="Calibri" w:cs="Calibri"/>
          <w:szCs w:val="22"/>
        </w:rPr>
      </w:pP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Please let me know if you need anything further and thank you for the opportunity to comment.</w:t>
      </w:r>
    </w:p>
    <w:p w:rsidR="00F669DA" w:rsidRPr="00F669DA" w:rsidRDefault="00F669DA" w:rsidP="00F669DA">
      <w:pPr>
        <w:rPr>
          <w:rFonts w:ascii="Calibri" w:eastAsiaTheme="minorHAnsi" w:hAnsi="Calibri" w:cs="Calibri"/>
          <w:szCs w:val="22"/>
        </w:rPr>
      </w:pP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Best,</w:t>
      </w:r>
    </w:p>
    <w:p w:rsidR="00F669DA" w:rsidRPr="00F669DA" w:rsidRDefault="00F669DA" w:rsidP="00F669DA">
      <w:pPr>
        <w:rPr>
          <w:rFonts w:ascii="Calibri" w:eastAsiaTheme="minorHAnsi" w:hAnsi="Calibri" w:cs="Calibri"/>
          <w:color w:val="000000"/>
          <w:szCs w:val="22"/>
        </w:rPr>
      </w:pP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000000"/>
          <w:szCs w:val="22"/>
        </w:rPr>
        <w:t>Jen</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000000"/>
          <w:sz w:val="24"/>
          <w:szCs w:val="24"/>
        </w:rPr>
        <w:t> </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000000"/>
          <w:sz w:val="24"/>
          <w:szCs w:val="24"/>
        </w:rPr>
        <w:t> </w:t>
      </w:r>
    </w:p>
    <w:tbl>
      <w:tblPr>
        <w:tblW w:w="13155" w:type="dxa"/>
        <w:tblInd w:w="108" w:type="dxa"/>
        <w:tblCellMar>
          <w:left w:w="0" w:type="dxa"/>
          <w:right w:w="0" w:type="dxa"/>
        </w:tblCellMar>
        <w:tblLook w:val="04A0" w:firstRow="1" w:lastRow="0" w:firstColumn="1" w:lastColumn="0" w:noHBand="0" w:noVBand="1"/>
      </w:tblPr>
      <w:tblGrid>
        <w:gridCol w:w="4476"/>
        <w:gridCol w:w="318"/>
        <w:gridCol w:w="4204"/>
        <w:gridCol w:w="4157"/>
      </w:tblGrid>
      <w:tr w:rsidR="00F669DA" w:rsidRPr="00F669DA" w:rsidTr="006E0B19">
        <w:trPr>
          <w:trHeight w:val="2006"/>
        </w:trPr>
        <w:tc>
          <w:tcPr>
            <w:tcW w:w="4455" w:type="dxa"/>
            <w:tcMar>
              <w:top w:w="0" w:type="dxa"/>
              <w:left w:w="108" w:type="dxa"/>
              <w:bottom w:w="0" w:type="dxa"/>
              <w:right w:w="108" w:type="dxa"/>
            </w:tcMar>
            <w:hideMark/>
          </w:tcPr>
          <w:p w:rsidR="00F669DA" w:rsidRPr="00F669DA" w:rsidRDefault="00F669DA" w:rsidP="00F669DA">
            <w:pPr>
              <w:rPr>
                <w:rFonts w:ascii="Calibri" w:eastAsiaTheme="minorHAnsi" w:hAnsi="Calibri" w:cs="Calibri"/>
                <w:szCs w:val="22"/>
              </w:rPr>
            </w:pPr>
            <w:r w:rsidRPr="00F669DA">
              <w:rPr>
                <w:rFonts w:ascii="Myriad Pro" w:eastAsiaTheme="minorHAnsi" w:hAnsi="Myriad Pro" w:cs="Calibri"/>
                <w:color w:val="003366"/>
                <w:sz w:val="2"/>
                <w:szCs w:val="2"/>
              </w:rPr>
              <w:br/>
            </w:r>
            <w:r w:rsidRPr="00F669DA">
              <w:rPr>
                <w:rFonts w:ascii="Calibri" w:eastAsiaTheme="minorHAnsi" w:hAnsi="Calibri" w:cs="Calibri"/>
                <w:noProof/>
                <w:sz w:val="24"/>
                <w:szCs w:val="24"/>
              </w:rPr>
              <w:drawing>
                <wp:inline distT="0" distB="0" distL="0" distR="0" wp14:anchorId="4395675A" wp14:editId="55AACE45">
                  <wp:extent cx="2695575" cy="1123950"/>
                  <wp:effectExtent l="0" t="0" r="9525" b="0"/>
                  <wp:docPr id="22" name="Picture 22" descr="1049 APSP Email Signature Logo and Ba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9 APSP Email Signature Logo and Bar (002)"/>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2695575" cy="1123950"/>
                          </a:xfrm>
                          <a:prstGeom prst="rect">
                            <a:avLst/>
                          </a:prstGeom>
                          <a:noFill/>
                          <a:ln>
                            <a:noFill/>
                          </a:ln>
                        </pic:spPr>
                      </pic:pic>
                    </a:graphicData>
                  </a:graphic>
                </wp:inline>
              </w:drawing>
            </w:r>
          </w:p>
        </w:tc>
        <w:tc>
          <w:tcPr>
            <w:tcW w:w="318" w:type="dxa"/>
            <w:tcMar>
              <w:top w:w="0" w:type="dxa"/>
              <w:left w:w="108" w:type="dxa"/>
              <w:bottom w:w="0" w:type="dxa"/>
              <w:right w:w="108" w:type="dxa"/>
            </w:tcMar>
            <w:hideMark/>
          </w:tcPr>
          <w:p w:rsidR="00F669DA" w:rsidRPr="00F669DA" w:rsidRDefault="00F669DA" w:rsidP="00F669DA">
            <w:pPr>
              <w:rPr>
                <w:rFonts w:ascii="Times New Roman" w:eastAsia="Times New Roman" w:hAnsi="Times New Roman"/>
                <w:sz w:val="20"/>
              </w:rPr>
            </w:pPr>
          </w:p>
        </w:tc>
        <w:tc>
          <w:tcPr>
            <w:tcW w:w="4212" w:type="dxa"/>
            <w:hideMark/>
          </w:tcPr>
          <w:p w:rsidR="00F669DA" w:rsidRPr="00F669DA" w:rsidRDefault="00F669DA" w:rsidP="00F669DA">
            <w:pPr>
              <w:rPr>
                <w:rFonts w:ascii="Calibri" w:eastAsiaTheme="minorHAnsi" w:hAnsi="Calibri" w:cs="Calibri"/>
                <w:szCs w:val="22"/>
              </w:rPr>
            </w:pPr>
            <w:r w:rsidRPr="00F669DA">
              <w:rPr>
                <w:rFonts w:ascii="Myriad Pro" w:eastAsiaTheme="minorHAnsi" w:hAnsi="Myriad Pro" w:cs="Calibri"/>
                <w:color w:val="A20000"/>
                <w:sz w:val="16"/>
                <w:szCs w:val="16"/>
              </w:rPr>
              <w:br/>
            </w:r>
            <w:r w:rsidRPr="00F669DA">
              <w:rPr>
                <w:rFonts w:ascii="Calibri" w:eastAsiaTheme="minorHAnsi" w:hAnsi="Calibri" w:cs="Calibri"/>
                <w:b/>
                <w:bCs/>
                <w:color w:val="000000"/>
                <w:sz w:val="16"/>
                <w:szCs w:val="16"/>
              </w:rPr>
              <w:t>Jennifer Hatfield</w:t>
            </w:r>
            <w:r w:rsidRPr="00F669DA">
              <w:rPr>
                <w:rFonts w:ascii="Calibri" w:eastAsiaTheme="minorHAnsi" w:hAnsi="Calibri" w:cs="Calibri"/>
                <w:color w:val="000000"/>
                <w:sz w:val="16"/>
                <w:szCs w:val="16"/>
              </w:rPr>
              <w:br/>
              <w:t>Director, Government Affairs</w:t>
            </w:r>
            <w:r w:rsidRPr="00F669DA">
              <w:rPr>
                <w:rFonts w:ascii="Calibri" w:eastAsiaTheme="minorHAnsi" w:hAnsi="Calibri" w:cs="Calibri"/>
                <w:color w:val="000000"/>
                <w:sz w:val="16"/>
                <w:szCs w:val="16"/>
              </w:rPr>
              <w:br/>
            </w:r>
            <w:hyperlink r:id="rId28" w:history="1">
              <w:r w:rsidRPr="00F669DA">
                <w:rPr>
                  <w:rFonts w:ascii="Calibri" w:eastAsiaTheme="minorHAnsi" w:hAnsi="Calibri" w:cs="Calibri"/>
                  <w:color w:val="0563C1"/>
                  <w:sz w:val="16"/>
                  <w:szCs w:val="16"/>
                  <w:u w:val="single"/>
                </w:rPr>
                <w:t>jhatfield@phta.org</w:t>
              </w:r>
            </w:hyperlink>
            <w:r w:rsidRPr="00F669DA">
              <w:rPr>
                <w:rFonts w:ascii="Calibri" w:eastAsiaTheme="minorHAnsi" w:hAnsi="Calibri" w:cs="Calibri"/>
                <w:color w:val="000000"/>
                <w:sz w:val="16"/>
                <w:szCs w:val="16"/>
              </w:rPr>
              <w:t> | 941.345.3263</w:t>
            </w:r>
            <w:r w:rsidRPr="00F669DA">
              <w:rPr>
                <w:rFonts w:ascii="Calibri" w:eastAsiaTheme="minorHAnsi" w:hAnsi="Calibri" w:cs="Calibri"/>
                <w:color w:val="000000"/>
                <w:sz w:val="16"/>
                <w:szCs w:val="16"/>
              </w:rPr>
              <w:br/>
            </w:r>
            <w:hyperlink r:id="rId29" w:history="1">
              <w:r w:rsidRPr="00F669DA">
                <w:rPr>
                  <w:rFonts w:ascii="Calibri" w:eastAsiaTheme="minorHAnsi" w:hAnsi="Calibri" w:cs="Calibri"/>
                  <w:color w:val="0563C1"/>
                  <w:sz w:val="16"/>
                  <w:szCs w:val="16"/>
                  <w:u w:val="single"/>
                </w:rPr>
                <w:t>www.APSP.org</w:t>
              </w:r>
            </w:hyperlink>
            <w:r w:rsidRPr="00F669DA">
              <w:rPr>
                <w:rFonts w:ascii="Calibri" w:eastAsiaTheme="minorHAnsi" w:hAnsi="Calibri" w:cs="Calibri"/>
                <w:color w:val="000000"/>
                <w:sz w:val="16"/>
                <w:szCs w:val="16"/>
              </w:rPr>
              <w:br/>
            </w:r>
            <w:r w:rsidRPr="00F669DA">
              <w:rPr>
                <w:rFonts w:ascii="Calibri" w:eastAsiaTheme="minorHAnsi" w:hAnsi="Calibri" w:cs="Calibri"/>
                <w:color w:val="000000"/>
                <w:sz w:val="16"/>
                <w:szCs w:val="16"/>
              </w:rPr>
              <w:br/>
            </w:r>
            <w:r w:rsidRPr="00F669DA">
              <w:rPr>
                <w:rFonts w:ascii="Calibri" w:eastAsiaTheme="minorHAnsi" w:hAnsi="Calibri" w:cs="Calibri"/>
                <w:b/>
                <w:bCs/>
                <w:color w:val="000000"/>
                <w:sz w:val="16"/>
                <w:szCs w:val="16"/>
              </w:rPr>
              <w:t>Pool &amp; Hot Tub Alliance</w:t>
            </w:r>
            <w:r w:rsidRPr="00F669DA">
              <w:rPr>
                <w:rFonts w:ascii="Calibri" w:eastAsiaTheme="minorHAnsi" w:hAnsi="Calibri" w:cs="Calibri"/>
                <w:color w:val="000000"/>
                <w:sz w:val="16"/>
                <w:szCs w:val="16"/>
              </w:rPr>
              <w:br/>
              <w:t>2111 Eisenhower Ave., Ste. 500    4775 Granby Circle</w:t>
            </w:r>
            <w:r w:rsidRPr="00F669DA">
              <w:rPr>
                <w:rFonts w:ascii="Calibri" w:eastAsiaTheme="minorHAnsi" w:hAnsi="Calibri" w:cs="Calibri"/>
                <w:color w:val="000000"/>
                <w:sz w:val="16"/>
                <w:szCs w:val="16"/>
              </w:rPr>
              <w:br/>
              <w:t>Alexandria, VA 22314                      Colorado Springs, CO 80919</w:t>
            </w:r>
          </w:p>
        </w:tc>
        <w:tc>
          <w:tcPr>
            <w:tcW w:w="4170" w:type="dxa"/>
            <w:tcMar>
              <w:top w:w="0" w:type="dxa"/>
              <w:left w:w="108" w:type="dxa"/>
              <w:bottom w:w="0" w:type="dxa"/>
              <w:right w:w="108" w:type="dxa"/>
            </w:tcMar>
            <w:hideMark/>
          </w:tcPr>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 </w:t>
            </w:r>
          </w:p>
        </w:tc>
      </w:tr>
    </w:tbl>
    <w:p w:rsidR="00F669DA" w:rsidRPr="00F669DA" w:rsidRDefault="00F669DA" w:rsidP="00F669DA">
      <w:pPr>
        <w:rPr>
          <w:rFonts w:ascii="Calibri" w:eastAsiaTheme="minorHAnsi" w:hAnsi="Calibri" w:cs="Calibri"/>
          <w:sz w:val="24"/>
          <w:szCs w:val="24"/>
        </w:rPr>
      </w:pPr>
    </w:p>
    <w:p w:rsidR="00F669DA" w:rsidRDefault="00F669DA" w:rsidP="00F669DA"/>
    <w:p w:rsidR="00F669DA" w:rsidRDefault="00F669DA" w:rsidP="00F669DA"/>
    <w:p w:rsidR="00F669DA" w:rsidRPr="00FC1B66" w:rsidRDefault="00F669DA" w:rsidP="00F669DA">
      <w:pPr>
        <w:shd w:val="clear" w:color="auto" w:fill="FFFFFF"/>
        <w:outlineLvl w:val="0"/>
        <w:rPr>
          <w:rFonts w:eastAsia="Times New Roman" w:cs="Arial"/>
          <w:bCs/>
          <w:color w:val="000000"/>
          <w:kern w:val="36"/>
          <w:sz w:val="21"/>
          <w:szCs w:val="21"/>
        </w:rPr>
      </w:pPr>
      <w:r w:rsidRPr="00D661B0">
        <w:rPr>
          <w:rFonts w:eastAsia="Times New Roman" w:cs="Arial"/>
          <w:b/>
          <w:bCs/>
          <w:color w:val="000000"/>
          <w:kern w:val="36"/>
          <w:sz w:val="21"/>
          <w:szCs w:val="21"/>
        </w:rPr>
        <w:t>TAC Recommendation:</w:t>
      </w:r>
      <w:r w:rsidR="00FC1B66">
        <w:rPr>
          <w:rFonts w:eastAsia="Times New Roman" w:cs="Arial"/>
          <w:b/>
          <w:bCs/>
          <w:color w:val="000000"/>
          <w:kern w:val="36"/>
          <w:sz w:val="21"/>
          <w:szCs w:val="21"/>
        </w:rPr>
        <w:t xml:space="preserve"> AM – </w:t>
      </w:r>
      <w:r w:rsidR="00FC1B66">
        <w:rPr>
          <w:rFonts w:eastAsia="Times New Roman" w:cs="Arial"/>
          <w:bCs/>
          <w:color w:val="000000"/>
          <w:kern w:val="36"/>
          <w:sz w:val="21"/>
          <w:szCs w:val="21"/>
        </w:rPr>
        <w:t>with changing “NSF Standard 50 certified” to “validated.”</w:t>
      </w:r>
    </w:p>
    <w:p w:rsidR="00F669DA" w:rsidRDefault="00F669DA" w:rsidP="00F669DA">
      <w:pPr>
        <w:shd w:val="clear" w:color="auto" w:fill="FFFFFF"/>
        <w:outlineLvl w:val="0"/>
        <w:rPr>
          <w:rFonts w:eastAsia="Times New Roman" w:cs="Arial"/>
          <w:bCs/>
          <w:color w:val="000000"/>
          <w:kern w:val="36"/>
          <w:sz w:val="21"/>
          <w:szCs w:val="21"/>
          <w:u w:val="single"/>
        </w:rPr>
      </w:pPr>
    </w:p>
    <w:p w:rsidR="00F669DA" w:rsidRPr="00D661B0" w:rsidRDefault="00F669DA" w:rsidP="00F669DA">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F669DA" w:rsidRDefault="00F669DA" w:rsidP="00F669DA">
      <w:pPr>
        <w:rPr>
          <w:color w:val="FF0000"/>
          <w:szCs w:val="22"/>
          <w:u w:val="single"/>
        </w:rPr>
      </w:pPr>
    </w:p>
    <w:p w:rsidR="00F669DA" w:rsidRDefault="00F669DA" w:rsidP="00F669DA">
      <w:pPr>
        <w:rPr>
          <w:color w:val="FF0000"/>
          <w:szCs w:val="22"/>
          <w:u w:val="single"/>
        </w:rPr>
      </w:pPr>
    </w:p>
    <w:p w:rsidR="00F669DA" w:rsidRDefault="00F669DA" w:rsidP="00F669DA">
      <w:pPr>
        <w:rPr>
          <w:color w:val="FF0000"/>
          <w:szCs w:val="22"/>
          <w:u w:val="single"/>
        </w:rPr>
      </w:pPr>
    </w:p>
    <w:p w:rsidR="00F669DA" w:rsidRPr="002D2630" w:rsidRDefault="00F669DA" w:rsidP="00F669DA">
      <w:pPr>
        <w:rPr>
          <w:b/>
          <w:color w:val="FF0000"/>
          <w:szCs w:val="22"/>
          <w:u w:val="single"/>
        </w:rPr>
      </w:pPr>
    </w:p>
    <w:p w:rsidR="00F669DA" w:rsidRPr="002D2630" w:rsidRDefault="00F669DA" w:rsidP="00F669DA">
      <w:pPr>
        <w:rPr>
          <w:b/>
          <w:color w:val="FF0000"/>
          <w:szCs w:val="22"/>
          <w:u w:val="single"/>
        </w:rPr>
      </w:pPr>
      <w:r w:rsidRPr="002D2630">
        <w:rPr>
          <w:b/>
          <w:color w:val="FF0000"/>
          <w:szCs w:val="22"/>
          <w:u w:val="single"/>
        </w:rPr>
        <w:t>SW/E-</w:t>
      </w:r>
      <w:r w:rsidR="00490734" w:rsidRPr="002D2630">
        <w:rPr>
          <w:b/>
          <w:color w:val="FF0000"/>
          <w:szCs w:val="22"/>
          <w:u w:val="single"/>
        </w:rPr>
        <w:t>FBC-</w:t>
      </w:r>
      <w:r w:rsidRPr="002D2630">
        <w:rPr>
          <w:b/>
          <w:color w:val="FF0000"/>
          <w:szCs w:val="22"/>
          <w:u w:val="single"/>
        </w:rPr>
        <w:t>B</w:t>
      </w:r>
      <w:r w:rsidR="00490734" w:rsidRPr="002D2630">
        <w:rPr>
          <w:b/>
          <w:color w:val="FF0000"/>
          <w:szCs w:val="22"/>
          <w:u w:val="single"/>
        </w:rPr>
        <w:t xml:space="preserve">- Ch. 4 </w:t>
      </w:r>
      <w:r w:rsidRPr="002D2630">
        <w:rPr>
          <w:b/>
          <w:color w:val="FF0000"/>
          <w:szCs w:val="22"/>
          <w:u w:val="single"/>
        </w:rPr>
        <w:t>-</w:t>
      </w:r>
      <w:r w:rsidR="00490734" w:rsidRPr="002D2630">
        <w:rPr>
          <w:b/>
          <w:color w:val="FF0000"/>
          <w:szCs w:val="22"/>
          <w:u w:val="single"/>
        </w:rPr>
        <w:t xml:space="preserve"> </w:t>
      </w:r>
      <w:r w:rsidR="00CC16DC">
        <w:rPr>
          <w:b/>
          <w:color w:val="FF0000"/>
          <w:szCs w:val="22"/>
          <w:u w:val="single"/>
        </w:rPr>
        <w:t>Comment #4</w:t>
      </w:r>
    </w:p>
    <w:p w:rsidR="00F669DA" w:rsidRDefault="00F669DA" w:rsidP="00F669DA"/>
    <w:p w:rsidR="00F669DA" w:rsidRDefault="00F669DA" w:rsidP="00F669DA"/>
    <w:p w:rsidR="00F669DA" w:rsidRPr="00F669DA" w:rsidRDefault="00F669DA" w:rsidP="00F669DA">
      <w:pPr>
        <w:rPr>
          <w:rFonts w:ascii="Tahoma" w:eastAsia="Times New Roman" w:hAnsi="Tahoma" w:cs="Tahoma"/>
          <w:sz w:val="20"/>
        </w:rPr>
      </w:pPr>
      <w:r w:rsidRPr="00F669DA">
        <w:rPr>
          <w:rFonts w:ascii="Tahoma" w:eastAsia="Times New Roman" w:hAnsi="Tahoma" w:cs="Tahoma"/>
          <w:b/>
          <w:bCs/>
          <w:sz w:val="20"/>
        </w:rPr>
        <w:t>From:</w:t>
      </w:r>
      <w:r w:rsidRPr="00F669DA">
        <w:rPr>
          <w:rFonts w:ascii="Tahoma" w:eastAsia="Times New Roman" w:hAnsi="Tahoma" w:cs="Tahoma"/>
          <w:sz w:val="20"/>
        </w:rPr>
        <w:t xml:space="preserve"> Hall, John (RER) [mailto:John.Hall2@miamidade.gov] </w:t>
      </w:r>
      <w:r w:rsidRPr="00F669DA">
        <w:rPr>
          <w:rFonts w:ascii="Tahoma" w:eastAsia="Times New Roman" w:hAnsi="Tahoma" w:cs="Tahoma"/>
          <w:sz w:val="20"/>
        </w:rPr>
        <w:br/>
      </w:r>
      <w:r w:rsidRPr="00F669DA">
        <w:rPr>
          <w:rFonts w:ascii="Tahoma" w:eastAsia="Times New Roman" w:hAnsi="Tahoma" w:cs="Tahoma"/>
          <w:b/>
          <w:bCs/>
          <w:sz w:val="20"/>
        </w:rPr>
        <w:t>Sent:</w:t>
      </w:r>
      <w:r w:rsidRPr="00F669DA">
        <w:rPr>
          <w:rFonts w:ascii="Tahoma" w:eastAsia="Times New Roman" w:hAnsi="Tahoma" w:cs="Tahoma"/>
          <w:sz w:val="20"/>
        </w:rPr>
        <w:t xml:space="preserve"> Friday, February 14, 2020 12:20 PM</w:t>
      </w:r>
      <w:r w:rsidRPr="00F669DA">
        <w:rPr>
          <w:rFonts w:ascii="Tahoma" w:eastAsia="Times New Roman" w:hAnsi="Tahoma" w:cs="Tahoma"/>
          <w:sz w:val="20"/>
        </w:rPr>
        <w:br/>
      </w:r>
      <w:r w:rsidRPr="00F669DA">
        <w:rPr>
          <w:rFonts w:ascii="Tahoma" w:eastAsia="Times New Roman" w:hAnsi="Tahoma" w:cs="Tahoma"/>
          <w:b/>
          <w:bCs/>
          <w:sz w:val="20"/>
        </w:rPr>
        <w:t>To:</w:t>
      </w:r>
      <w:r w:rsidRPr="00F669DA">
        <w:rPr>
          <w:rFonts w:ascii="Tahoma" w:eastAsia="Times New Roman" w:hAnsi="Tahoma" w:cs="Tahoma"/>
          <w:sz w:val="20"/>
        </w:rPr>
        <w:t xml:space="preserve"> Madani, Mo</w:t>
      </w:r>
      <w:r w:rsidRPr="00F669DA">
        <w:rPr>
          <w:rFonts w:ascii="Tahoma" w:eastAsia="Times New Roman" w:hAnsi="Tahoma" w:cs="Tahoma"/>
          <w:sz w:val="20"/>
        </w:rPr>
        <w:br/>
      </w:r>
      <w:r w:rsidRPr="00F669DA">
        <w:rPr>
          <w:rFonts w:ascii="Tahoma" w:eastAsia="Times New Roman" w:hAnsi="Tahoma" w:cs="Tahoma"/>
          <w:b/>
          <w:bCs/>
          <w:sz w:val="20"/>
        </w:rPr>
        <w:t>Cc:</w:t>
      </w:r>
      <w:r w:rsidRPr="00F669DA">
        <w:rPr>
          <w:rFonts w:ascii="Tahoma" w:eastAsia="Times New Roman" w:hAnsi="Tahoma" w:cs="Tahoma"/>
          <w:sz w:val="20"/>
        </w:rPr>
        <w:t xml:space="preserve"> Goolsby, Michael L. (RER)</w:t>
      </w:r>
      <w:r w:rsidRPr="00F669DA">
        <w:rPr>
          <w:rFonts w:ascii="Tahoma" w:eastAsia="Times New Roman" w:hAnsi="Tahoma" w:cs="Tahoma"/>
          <w:sz w:val="20"/>
        </w:rPr>
        <w:br/>
      </w:r>
      <w:r w:rsidRPr="00F669DA">
        <w:rPr>
          <w:rFonts w:ascii="Tahoma" w:eastAsia="Times New Roman" w:hAnsi="Tahoma" w:cs="Tahoma"/>
          <w:b/>
          <w:bCs/>
          <w:sz w:val="20"/>
        </w:rPr>
        <w:t>Subject:</w:t>
      </w:r>
      <w:r w:rsidRPr="00F669DA">
        <w:rPr>
          <w:rFonts w:ascii="Tahoma" w:eastAsia="Times New Roman" w:hAnsi="Tahoma" w:cs="Tahoma"/>
          <w:sz w:val="20"/>
        </w:rPr>
        <w:t xml:space="preserve"> Comment on the draft 7th Edition (2021) Florida Building Code</w:t>
      </w:r>
    </w:p>
    <w:p w:rsidR="00F669DA" w:rsidRPr="00F669DA" w:rsidRDefault="00F669DA" w:rsidP="00F669DA">
      <w:pPr>
        <w:spacing w:after="160" w:line="252" w:lineRule="auto"/>
        <w:rPr>
          <w:rFonts w:ascii="Calibri" w:eastAsiaTheme="minorHAnsi" w:hAnsi="Calibri" w:cs="Calibri"/>
          <w:szCs w:val="22"/>
        </w:rPr>
      </w:pPr>
    </w:p>
    <w:p w:rsidR="00F669DA" w:rsidRPr="00F669DA" w:rsidRDefault="00F669DA" w:rsidP="00F669DA">
      <w:pPr>
        <w:spacing w:after="160" w:line="252" w:lineRule="auto"/>
        <w:rPr>
          <w:rFonts w:ascii="Calibri" w:eastAsiaTheme="minorHAnsi" w:hAnsi="Calibri" w:cs="Calibri"/>
          <w:szCs w:val="22"/>
        </w:rPr>
      </w:pPr>
      <w:r w:rsidRPr="00F669DA">
        <w:rPr>
          <w:rFonts w:ascii="Calibri" w:eastAsiaTheme="minorHAnsi" w:hAnsi="Calibri" w:cs="Calibri"/>
          <w:szCs w:val="22"/>
        </w:rPr>
        <w:lastRenderedPageBreak/>
        <w:t>Good morning Mo,</w:t>
      </w:r>
    </w:p>
    <w:p w:rsidR="00F669DA" w:rsidRPr="00F669DA" w:rsidRDefault="00F669DA" w:rsidP="00F669DA">
      <w:pPr>
        <w:spacing w:after="160" w:line="252" w:lineRule="auto"/>
        <w:rPr>
          <w:rFonts w:ascii="Calibri" w:eastAsiaTheme="minorHAnsi" w:hAnsi="Calibri" w:cs="Calibri"/>
          <w:szCs w:val="22"/>
        </w:rPr>
      </w:pPr>
      <w:r w:rsidRPr="00F669DA">
        <w:rPr>
          <w:rFonts w:ascii="Calibri" w:eastAsiaTheme="minorHAnsi" w:hAnsi="Calibri" w:cs="Calibri"/>
          <w:szCs w:val="22"/>
        </w:rPr>
        <w:t>Following the January 28, 2020 Swimming Pool TAC meeting and discussions with FSPA representatives, I am respectfully submitting the following comment to the 6</w:t>
      </w:r>
      <w:r w:rsidRPr="00F669DA">
        <w:rPr>
          <w:rFonts w:ascii="Calibri" w:eastAsiaTheme="minorHAnsi" w:hAnsi="Calibri" w:cs="Calibri"/>
          <w:szCs w:val="22"/>
          <w:vertAlign w:val="superscript"/>
        </w:rPr>
        <w:t>th</w:t>
      </w:r>
      <w:r w:rsidRPr="00F669DA">
        <w:rPr>
          <w:rFonts w:ascii="Calibri" w:eastAsiaTheme="minorHAnsi" w:hAnsi="Calibri" w:cs="Calibri"/>
          <w:szCs w:val="22"/>
        </w:rPr>
        <w:t xml:space="preserve"> Edition (2017) Florida Building Code, Building Section 454.1.4.2.5 for inclusion in the 7</w:t>
      </w:r>
      <w:r w:rsidRPr="00F669DA">
        <w:rPr>
          <w:rFonts w:ascii="Calibri" w:eastAsiaTheme="minorHAnsi" w:hAnsi="Calibri" w:cs="Calibri"/>
          <w:szCs w:val="22"/>
          <w:vertAlign w:val="superscript"/>
        </w:rPr>
        <w:t>th</w:t>
      </w:r>
      <w:r w:rsidRPr="00F669DA">
        <w:rPr>
          <w:rFonts w:ascii="Calibri" w:eastAsiaTheme="minorHAnsi" w:hAnsi="Calibri" w:cs="Calibri"/>
          <w:szCs w:val="22"/>
        </w:rPr>
        <w:t xml:space="preserve"> Edition (2021) Florida Building Code, Building as follows.</w:t>
      </w:r>
    </w:p>
    <w:p w:rsidR="00F669DA" w:rsidRPr="00F669DA" w:rsidRDefault="00F669DA" w:rsidP="00F669DA">
      <w:pPr>
        <w:spacing w:after="160" w:line="252" w:lineRule="auto"/>
        <w:rPr>
          <w:rFonts w:ascii="Calibri" w:eastAsiaTheme="minorHAnsi" w:hAnsi="Calibri" w:cs="Calibri"/>
          <w:b/>
          <w:bCs/>
          <w:szCs w:val="22"/>
        </w:rPr>
      </w:pPr>
    </w:p>
    <w:p w:rsidR="00F669DA" w:rsidRPr="00F669DA" w:rsidRDefault="00F669DA" w:rsidP="00F669DA">
      <w:pPr>
        <w:spacing w:after="160" w:line="252" w:lineRule="auto"/>
        <w:rPr>
          <w:rFonts w:ascii="Calibri" w:eastAsiaTheme="minorHAnsi" w:hAnsi="Calibri" w:cs="Calibri"/>
          <w:szCs w:val="22"/>
        </w:rPr>
      </w:pPr>
      <w:r w:rsidRPr="00F669DA">
        <w:rPr>
          <w:rFonts w:ascii="Calibri" w:eastAsiaTheme="minorHAnsi" w:hAnsi="Calibri" w:cs="Calibri"/>
          <w:b/>
          <w:bCs/>
          <w:szCs w:val="22"/>
        </w:rPr>
        <w:t>454.1.4.2.5</w:t>
      </w:r>
      <w:r w:rsidRPr="00F669DA">
        <w:rPr>
          <w:rFonts w:ascii="Calibri" w:eastAsiaTheme="minorHAnsi" w:hAnsi="Calibri" w:cs="Calibri"/>
          <w:szCs w:val="22"/>
        </w:rPr>
        <w:t xml:space="preserve"> </w:t>
      </w:r>
      <w:r w:rsidRPr="00F669DA">
        <w:rPr>
          <w:rFonts w:ascii="Calibri" w:eastAsiaTheme="minorHAnsi" w:hAnsi="Calibri" w:cs="Calibri"/>
          <w:szCs w:val="22"/>
          <w:u w:val="single"/>
        </w:rPr>
        <w:t>Voltage limitation</w:t>
      </w:r>
      <w:r w:rsidRPr="00F669DA">
        <w:rPr>
          <w:rFonts w:ascii="Calibri" w:eastAsiaTheme="minorHAnsi" w:hAnsi="Calibri" w:cs="Calibri"/>
          <w:szCs w:val="22"/>
        </w:rPr>
        <w:t>. Underwater lighting, or lighting that may be exposed to nozzle-directed</w:t>
      </w:r>
      <w:r w:rsidRPr="00F669DA">
        <w:rPr>
          <w:rFonts w:ascii="Calibri" w:eastAsiaTheme="minorHAnsi" w:hAnsi="Calibri" w:cs="Calibri"/>
          <w:szCs w:val="22"/>
          <w:u w:val="single"/>
        </w:rPr>
        <w:t xml:space="preserve"> </w:t>
      </w:r>
      <w:r w:rsidRPr="00F669DA">
        <w:rPr>
          <w:rFonts w:ascii="Calibri" w:eastAsiaTheme="minorHAnsi" w:hAnsi="Calibri" w:cs="Calibri"/>
          <w:szCs w:val="22"/>
        </w:rPr>
        <w:t xml:space="preserve">pool water, shall not exceed 30 volts DC or 15 volts AC. Such lights shall be installed in accordance with manufacturer’s </w:t>
      </w:r>
      <w:r w:rsidRPr="00F669DA">
        <w:rPr>
          <w:rFonts w:ascii="Calibri" w:eastAsiaTheme="minorHAnsi" w:hAnsi="Calibri" w:cs="Calibri"/>
          <w:szCs w:val="22"/>
          <w:u w:val="single"/>
        </w:rPr>
        <w:t>installation instructions</w:t>
      </w:r>
      <w:r w:rsidRPr="00F669DA">
        <w:rPr>
          <w:rFonts w:ascii="Calibri" w:eastAsiaTheme="minorHAnsi" w:hAnsi="Calibri" w:cs="Calibri"/>
          <w:szCs w:val="22"/>
        </w:rPr>
        <w:t xml:space="preserve"> </w:t>
      </w:r>
      <w:r w:rsidRPr="00F669DA">
        <w:rPr>
          <w:rFonts w:ascii="Calibri" w:eastAsiaTheme="minorHAnsi" w:hAnsi="Calibri" w:cs="Calibri"/>
          <w:strike/>
          <w:szCs w:val="22"/>
        </w:rPr>
        <w:t>specifications</w:t>
      </w:r>
      <w:r w:rsidRPr="00F669DA">
        <w:rPr>
          <w:rFonts w:ascii="Calibri" w:eastAsiaTheme="minorHAnsi" w:hAnsi="Calibri" w:cs="Calibri"/>
          <w:szCs w:val="22"/>
        </w:rPr>
        <w:t xml:space="preserve"> and be </w:t>
      </w:r>
      <w:r w:rsidRPr="00F669DA">
        <w:rPr>
          <w:rFonts w:ascii="Calibri" w:eastAsiaTheme="minorHAnsi" w:hAnsi="Calibri" w:cs="Calibri"/>
          <w:szCs w:val="22"/>
          <w:u w:val="single"/>
        </w:rPr>
        <w:t>listed by a Nationally Recognized Testing Laboratory</w:t>
      </w:r>
      <w:r w:rsidRPr="00F669DA">
        <w:rPr>
          <w:rFonts w:ascii="Calibri" w:eastAsiaTheme="minorHAnsi" w:hAnsi="Calibri" w:cs="Calibri"/>
          <w:strike/>
          <w:szCs w:val="22"/>
        </w:rPr>
        <w:t xml:space="preserve"> approved for such use by UL or NSF</w:t>
      </w:r>
      <w:r w:rsidRPr="00F669DA">
        <w:rPr>
          <w:rFonts w:ascii="Calibri" w:eastAsiaTheme="minorHAnsi" w:hAnsi="Calibri" w:cs="Calibri"/>
          <w:szCs w:val="22"/>
        </w:rPr>
        <w:t>.</w:t>
      </w:r>
    </w:p>
    <w:p w:rsidR="00F669DA" w:rsidRPr="00F669DA" w:rsidRDefault="00F669DA" w:rsidP="00F669DA">
      <w:pPr>
        <w:spacing w:after="160" w:line="252" w:lineRule="auto"/>
        <w:rPr>
          <w:rFonts w:ascii="Calibri" w:eastAsiaTheme="minorHAnsi" w:hAnsi="Calibri" w:cs="Calibri"/>
          <w:szCs w:val="22"/>
        </w:rPr>
      </w:pPr>
    </w:p>
    <w:p w:rsidR="00F669DA" w:rsidRPr="00F669DA" w:rsidRDefault="00F669DA" w:rsidP="00F669DA">
      <w:pPr>
        <w:spacing w:after="160" w:line="252" w:lineRule="auto"/>
        <w:rPr>
          <w:rFonts w:ascii="Calibri" w:eastAsiaTheme="minorHAnsi" w:hAnsi="Calibri" w:cs="Calibri"/>
          <w:szCs w:val="22"/>
        </w:rPr>
      </w:pPr>
      <w:r w:rsidRPr="00F669DA">
        <w:rPr>
          <w:rFonts w:ascii="Calibri" w:eastAsiaTheme="minorHAnsi" w:hAnsi="Calibri" w:cs="Calibri"/>
          <w:szCs w:val="22"/>
        </w:rPr>
        <w:t>The rational for the comment is:</w:t>
      </w:r>
    </w:p>
    <w:p w:rsidR="00F669DA" w:rsidRPr="00F669DA" w:rsidRDefault="00F669DA" w:rsidP="00F669DA">
      <w:pPr>
        <w:numPr>
          <w:ilvl w:val="0"/>
          <w:numId w:val="1"/>
        </w:numPr>
        <w:spacing w:after="160" w:line="252" w:lineRule="auto"/>
        <w:rPr>
          <w:rFonts w:ascii="Calibri" w:eastAsia="Times New Roman" w:hAnsi="Calibri" w:cs="Calibri"/>
          <w:szCs w:val="22"/>
        </w:rPr>
      </w:pPr>
      <w:r w:rsidRPr="00F669DA">
        <w:rPr>
          <w:rFonts w:ascii="Calibri" w:eastAsia="Times New Roman" w:hAnsi="Calibri" w:cs="Calibri"/>
          <w:szCs w:val="22"/>
        </w:rPr>
        <w:t>The section was lacking a title.</w:t>
      </w:r>
    </w:p>
    <w:p w:rsidR="00F669DA" w:rsidRPr="00F669DA" w:rsidRDefault="00F669DA" w:rsidP="00F669DA">
      <w:pPr>
        <w:numPr>
          <w:ilvl w:val="0"/>
          <w:numId w:val="1"/>
        </w:numPr>
        <w:spacing w:after="160" w:line="252" w:lineRule="auto"/>
        <w:rPr>
          <w:rFonts w:ascii="Calibri" w:eastAsia="Times New Roman" w:hAnsi="Calibri" w:cs="Calibri"/>
          <w:szCs w:val="22"/>
        </w:rPr>
      </w:pPr>
      <w:r w:rsidRPr="00F669DA">
        <w:rPr>
          <w:rFonts w:ascii="Calibri" w:eastAsia="Times New Roman" w:hAnsi="Calibri" w:cs="Calibri"/>
          <w:szCs w:val="22"/>
        </w:rPr>
        <w:t>Equipment is to be installed in accordance with manufacturer’s “installation instructions” not specifications.</w:t>
      </w:r>
    </w:p>
    <w:p w:rsidR="00F669DA" w:rsidRPr="00F669DA" w:rsidRDefault="00F669DA" w:rsidP="00F669DA">
      <w:pPr>
        <w:numPr>
          <w:ilvl w:val="0"/>
          <w:numId w:val="1"/>
        </w:numPr>
        <w:spacing w:after="160" w:line="252" w:lineRule="auto"/>
        <w:rPr>
          <w:rFonts w:ascii="Calibri" w:eastAsia="Times New Roman" w:hAnsi="Calibri" w:cs="Calibri"/>
          <w:szCs w:val="22"/>
        </w:rPr>
      </w:pPr>
      <w:r w:rsidRPr="00F669DA">
        <w:rPr>
          <w:rFonts w:ascii="Calibri" w:eastAsia="Times New Roman" w:hAnsi="Calibri" w:cs="Calibri"/>
          <w:szCs w:val="22"/>
        </w:rPr>
        <w:t>Approval is a function of the Authority Having Jurisdiction, not third-party testing laboratories.</w:t>
      </w:r>
    </w:p>
    <w:p w:rsidR="00F669DA" w:rsidRPr="00F669DA" w:rsidRDefault="00F669DA" w:rsidP="00F669DA">
      <w:pPr>
        <w:numPr>
          <w:ilvl w:val="0"/>
          <w:numId w:val="1"/>
        </w:numPr>
        <w:spacing w:after="160" w:line="252" w:lineRule="auto"/>
        <w:rPr>
          <w:rFonts w:ascii="Calibri" w:eastAsia="Times New Roman" w:hAnsi="Calibri" w:cs="Calibri"/>
          <w:szCs w:val="22"/>
        </w:rPr>
      </w:pPr>
      <w:r w:rsidRPr="00F669DA">
        <w:rPr>
          <w:rFonts w:ascii="Calibri" w:eastAsia="Times New Roman" w:hAnsi="Calibri" w:cs="Calibri"/>
          <w:szCs w:val="22"/>
        </w:rPr>
        <w:t xml:space="preserve">Both UL and NSF are among nineteen Nationally Recognized Testing Laboratories. The </w:t>
      </w:r>
      <w:r w:rsidRPr="00F669DA">
        <w:rPr>
          <w:rFonts w:ascii="Calibri" w:eastAsia="Times New Roman" w:hAnsi="Calibri" w:cs="Calibri"/>
          <w:i/>
          <w:iCs/>
          <w:szCs w:val="22"/>
        </w:rPr>
        <w:t>Code</w:t>
      </w:r>
      <w:r w:rsidRPr="00F669DA">
        <w:rPr>
          <w:rFonts w:ascii="Calibri" w:eastAsia="Times New Roman" w:hAnsi="Calibri" w:cs="Calibri"/>
          <w:szCs w:val="22"/>
        </w:rPr>
        <w:t xml:space="preserve"> should not be usurping OSHA’s role of recognizing appropriate laboratories for product testing and evaluation. </w:t>
      </w:r>
    </w:p>
    <w:p w:rsidR="00F669DA" w:rsidRPr="00F669DA" w:rsidRDefault="00F669DA" w:rsidP="00F669DA">
      <w:pPr>
        <w:spacing w:after="160" w:line="252" w:lineRule="auto"/>
        <w:rPr>
          <w:rFonts w:ascii="Calibri" w:eastAsiaTheme="minorHAnsi" w:hAnsi="Calibri" w:cs="Calibri"/>
          <w:szCs w:val="22"/>
        </w:rPr>
      </w:pPr>
      <w:r w:rsidRPr="00F669DA">
        <w:rPr>
          <w:rFonts w:ascii="Calibri" w:eastAsiaTheme="minorHAnsi" w:hAnsi="Calibri" w:cs="Calibri"/>
          <w:szCs w:val="22"/>
        </w:rPr>
        <w:t>Thank you for your consideration in this matter.</w:t>
      </w:r>
    </w:p>
    <w:p w:rsidR="00F669DA" w:rsidRPr="00F669DA" w:rsidRDefault="00F669DA" w:rsidP="00F669DA">
      <w:pPr>
        <w:spacing w:after="160" w:line="252" w:lineRule="auto"/>
        <w:rPr>
          <w:rFonts w:ascii="Calibri" w:eastAsiaTheme="minorHAnsi" w:hAnsi="Calibri" w:cs="Calibri"/>
          <w:szCs w:val="22"/>
        </w:rPr>
      </w:pPr>
      <w:r w:rsidRPr="00F669DA">
        <w:rPr>
          <w:rFonts w:ascii="Calibri" w:eastAsiaTheme="minorHAnsi" w:hAnsi="Calibri" w:cs="Calibri"/>
          <w:szCs w:val="22"/>
        </w:rPr>
        <w:t>Sincerely,</w:t>
      </w:r>
    </w:p>
    <w:p w:rsidR="00F669DA" w:rsidRPr="00F669DA" w:rsidRDefault="00F669DA" w:rsidP="00F669DA">
      <w:pPr>
        <w:spacing w:after="160" w:line="252" w:lineRule="auto"/>
        <w:rPr>
          <w:rFonts w:ascii="Calibri" w:eastAsiaTheme="minorHAnsi" w:hAnsi="Calibri" w:cs="Calibri"/>
          <w:szCs w:val="22"/>
        </w:rPr>
      </w:pPr>
    </w:p>
    <w:p w:rsidR="00F669DA" w:rsidRPr="00F669DA" w:rsidRDefault="00F669DA" w:rsidP="00F669DA">
      <w:pPr>
        <w:rPr>
          <w:rFonts w:eastAsiaTheme="minorHAnsi" w:cs="Arial"/>
          <w:b/>
          <w:bCs/>
          <w:color w:val="44546A"/>
          <w:sz w:val="24"/>
          <w:szCs w:val="24"/>
        </w:rPr>
      </w:pPr>
      <w:r w:rsidRPr="00F669DA">
        <w:rPr>
          <w:rFonts w:eastAsiaTheme="minorHAnsi" w:cs="Arial"/>
          <w:b/>
          <w:bCs/>
          <w:color w:val="44546A"/>
          <w:sz w:val="24"/>
          <w:szCs w:val="24"/>
        </w:rPr>
        <w:t>John T. Hall</w:t>
      </w:r>
    </w:p>
    <w:p w:rsidR="00F669DA" w:rsidRPr="00F669DA" w:rsidRDefault="00F669DA" w:rsidP="00F669DA">
      <w:pPr>
        <w:rPr>
          <w:rFonts w:eastAsiaTheme="minorHAnsi" w:cs="Arial"/>
          <w:b/>
          <w:bCs/>
          <w:color w:val="44546A"/>
          <w:szCs w:val="22"/>
        </w:rPr>
      </w:pPr>
    </w:p>
    <w:p w:rsidR="00F669DA" w:rsidRPr="00F669DA" w:rsidRDefault="00F669DA" w:rsidP="00F669DA">
      <w:pPr>
        <w:rPr>
          <w:rFonts w:eastAsiaTheme="minorHAnsi" w:cs="Arial"/>
          <w:b/>
          <w:bCs/>
          <w:color w:val="44546A"/>
          <w:szCs w:val="22"/>
        </w:rPr>
      </w:pPr>
      <w:r w:rsidRPr="00F669DA">
        <w:rPr>
          <w:rFonts w:eastAsiaTheme="minorHAnsi" w:cs="Arial"/>
          <w:b/>
          <w:bCs/>
          <w:color w:val="44546A"/>
          <w:szCs w:val="22"/>
        </w:rPr>
        <w:t>Board and Code Administration Division</w:t>
      </w:r>
    </w:p>
    <w:p w:rsidR="00F669DA" w:rsidRPr="00F669DA" w:rsidRDefault="00F669DA" w:rsidP="00F669DA">
      <w:pPr>
        <w:rPr>
          <w:rFonts w:eastAsiaTheme="minorHAnsi" w:cs="Arial"/>
          <w:b/>
          <w:bCs/>
          <w:color w:val="44546A"/>
          <w:szCs w:val="22"/>
        </w:rPr>
      </w:pPr>
      <w:r w:rsidRPr="00F669DA">
        <w:rPr>
          <w:rFonts w:eastAsiaTheme="minorHAnsi" w:cs="Arial"/>
          <w:b/>
          <w:bCs/>
          <w:color w:val="44546A"/>
          <w:szCs w:val="22"/>
        </w:rPr>
        <w:t>Senior Code Officer (Electrical)</w:t>
      </w:r>
    </w:p>
    <w:p w:rsidR="00F669DA" w:rsidRPr="00F669DA" w:rsidRDefault="00F669DA" w:rsidP="00F669DA">
      <w:pPr>
        <w:rPr>
          <w:rFonts w:eastAsiaTheme="minorHAnsi" w:cs="Arial"/>
          <w:b/>
          <w:bCs/>
          <w:color w:val="44546A"/>
          <w:sz w:val="20"/>
        </w:rPr>
      </w:pPr>
      <w:r w:rsidRPr="00F669DA">
        <w:rPr>
          <w:rFonts w:eastAsiaTheme="minorHAnsi" w:cs="Arial"/>
          <w:b/>
          <w:bCs/>
          <w:color w:val="44546A"/>
          <w:sz w:val="20"/>
        </w:rPr>
        <w:t>Miami-Dade County Department of Regulatory and Economic Resources</w:t>
      </w:r>
      <w:r w:rsidRPr="00F669DA">
        <w:rPr>
          <w:rFonts w:eastAsiaTheme="minorHAnsi" w:cs="Arial"/>
          <w:b/>
          <w:bCs/>
          <w:color w:val="44546A"/>
          <w:szCs w:val="22"/>
        </w:rPr>
        <w:t xml:space="preserve"> </w:t>
      </w:r>
    </w:p>
    <w:p w:rsidR="00F669DA" w:rsidRPr="00F669DA" w:rsidRDefault="00F669DA" w:rsidP="00F669DA">
      <w:pPr>
        <w:rPr>
          <w:rFonts w:eastAsiaTheme="minorHAnsi" w:cs="Arial"/>
          <w:color w:val="44546A"/>
          <w:szCs w:val="22"/>
        </w:rPr>
      </w:pPr>
      <w:r w:rsidRPr="00F669DA">
        <w:rPr>
          <w:rFonts w:eastAsiaTheme="minorHAnsi" w:cs="Arial"/>
          <w:color w:val="44546A"/>
          <w:szCs w:val="22"/>
        </w:rPr>
        <w:t>11805 SW 26 Street, 2nd Floor</w:t>
      </w:r>
    </w:p>
    <w:p w:rsidR="00F669DA" w:rsidRPr="00F669DA" w:rsidRDefault="00F669DA" w:rsidP="00F669DA">
      <w:pPr>
        <w:autoSpaceDE w:val="0"/>
        <w:autoSpaceDN w:val="0"/>
        <w:rPr>
          <w:rFonts w:eastAsiaTheme="minorHAnsi" w:cs="Arial"/>
          <w:color w:val="44546A"/>
          <w:szCs w:val="22"/>
        </w:rPr>
      </w:pPr>
      <w:r w:rsidRPr="00F669DA">
        <w:rPr>
          <w:rFonts w:eastAsiaTheme="minorHAnsi" w:cs="Arial"/>
          <w:color w:val="44546A"/>
          <w:szCs w:val="22"/>
        </w:rPr>
        <w:t>Miami, Florida 33175-2474</w:t>
      </w:r>
      <w:r w:rsidRPr="00F669DA">
        <w:rPr>
          <w:rFonts w:eastAsiaTheme="minorHAnsi" w:cs="Arial"/>
          <w:color w:val="44546A"/>
          <w:szCs w:val="22"/>
        </w:rPr>
        <w:br/>
        <w:t>(786) 315- 2557 Phone</w:t>
      </w:r>
    </w:p>
    <w:p w:rsidR="00F669DA" w:rsidRPr="00F669DA" w:rsidRDefault="00F669DA" w:rsidP="00F669DA">
      <w:pPr>
        <w:autoSpaceDE w:val="0"/>
        <w:autoSpaceDN w:val="0"/>
        <w:rPr>
          <w:rFonts w:eastAsiaTheme="minorHAnsi" w:cs="Arial"/>
          <w:color w:val="44546A"/>
          <w:szCs w:val="22"/>
        </w:rPr>
      </w:pPr>
      <w:r w:rsidRPr="00F669DA">
        <w:rPr>
          <w:rFonts w:eastAsiaTheme="minorHAnsi" w:cs="Arial"/>
          <w:color w:val="44546A"/>
          <w:szCs w:val="22"/>
        </w:rPr>
        <w:t>(786) 315-2907 Fax</w:t>
      </w:r>
    </w:p>
    <w:p w:rsidR="00F669DA" w:rsidRDefault="00F669DA" w:rsidP="00F669DA">
      <w:pPr>
        <w:autoSpaceDE w:val="0"/>
        <w:autoSpaceDN w:val="0"/>
        <w:rPr>
          <w:rFonts w:eastAsiaTheme="minorHAnsi" w:cs="Arial"/>
          <w:color w:val="44546A"/>
          <w:szCs w:val="22"/>
        </w:rPr>
      </w:pPr>
    </w:p>
    <w:p w:rsidR="00CC16DC" w:rsidRDefault="00CC16DC" w:rsidP="00F669DA">
      <w:pPr>
        <w:autoSpaceDE w:val="0"/>
        <w:autoSpaceDN w:val="0"/>
        <w:rPr>
          <w:rFonts w:eastAsiaTheme="minorHAnsi" w:cs="Arial"/>
          <w:color w:val="44546A"/>
          <w:szCs w:val="22"/>
        </w:rPr>
      </w:pPr>
    </w:p>
    <w:p w:rsidR="00CC16DC" w:rsidRPr="00F669DA" w:rsidRDefault="00CC16DC" w:rsidP="00CC16DC">
      <w:pPr>
        <w:rPr>
          <w:rFonts w:ascii="Tahoma" w:eastAsia="Times New Roman" w:hAnsi="Tahoma" w:cs="Tahoma"/>
          <w:sz w:val="20"/>
        </w:rPr>
      </w:pPr>
      <w:r w:rsidRPr="00F669DA">
        <w:rPr>
          <w:rFonts w:ascii="Tahoma" w:eastAsia="Times New Roman" w:hAnsi="Tahoma" w:cs="Tahoma"/>
          <w:b/>
          <w:bCs/>
          <w:sz w:val="20"/>
        </w:rPr>
        <w:t>From:</w:t>
      </w:r>
      <w:r w:rsidRPr="00F669DA">
        <w:rPr>
          <w:rFonts w:ascii="Tahoma" w:eastAsia="Times New Roman" w:hAnsi="Tahoma" w:cs="Tahoma"/>
          <w:sz w:val="20"/>
        </w:rPr>
        <w:t xml:space="preserve"> Holland, Bryan [mailto:Bryan.Holland@nema.org] </w:t>
      </w:r>
      <w:r w:rsidRPr="00F669DA">
        <w:rPr>
          <w:rFonts w:ascii="Tahoma" w:eastAsia="Times New Roman" w:hAnsi="Tahoma" w:cs="Tahoma"/>
          <w:sz w:val="20"/>
        </w:rPr>
        <w:br/>
      </w:r>
      <w:r w:rsidRPr="00F669DA">
        <w:rPr>
          <w:rFonts w:ascii="Tahoma" w:eastAsia="Times New Roman" w:hAnsi="Tahoma" w:cs="Tahoma"/>
          <w:b/>
          <w:bCs/>
          <w:sz w:val="20"/>
        </w:rPr>
        <w:t>Sent:</w:t>
      </w:r>
      <w:r w:rsidRPr="00F669DA">
        <w:rPr>
          <w:rFonts w:ascii="Tahoma" w:eastAsia="Times New Roman" w:hAnsi="Tahoma" w:cs="Tahoma"/>
          <w:sz w:val="20"/>
        </w:rPr>
        <w:t xml:space="preserve"> Friday, February 14, 2020 3:08 PM</w:t>
      </w:r>
      <w:r w:rsidRPr="00F669DA">
        <w:rPr>
          <w:rFonts w:ascii="Tahoma" w:eastAsia="Times New Roman" w:hAnsi="Tahoma" w:cs="Tahoma"/>
          <w:sz w:val="20"/>
        </w:rPr>
        <w:br/>
      </w:r>
      <w:r w:rsidRPr="00F669DA">
        <w:rPr>
          <w:rFonts w:ascii="Tahoma" w:eastAsia="Times New Roman" w:hAnsi="Tahoma" w:cs="Tahoma"/>
          <w:b/>
          <w:bCs/>
          <w:sz w:val="20"/>
        </w:rPr>
        <w:t>To:</w:t>
      </w:r>
      <w:r w:rsidRPr="00F669DA">
        <w:rPr>
          <w:rFonts w:ascii="Tahoma" w:eastAsia="Times New Roman" w:hAnsi="Tahoma" w:cs="Tahoma"/>
          <w:sz w:val="20"/>
        </w:rPr>
        <w:t xml:space="preserve"> Hall, John (RER); Madani, Mo</w:t>
      </w:r>
      <w:r w:rsidRPr="00F669DA">
        <w:rPr>
          <w:rFonts w:ascii="Tahoma" w:eastAsia="Times New Roman" w:hAnsi="Tahoma" w:cs="Tahoma"/>
          <w:sz w:val="20"/>
        </w:rPr>
        <w:br/>
      </w:r>
      <w:r w:rsidRPr="00F669DA">
        <w:rPr>
          <w:rFonts w:ascii="Tahoma" w:eastAsia="Times New Roman" w:hAnsi="Tahoma" w:cs="Tahoma"/>
          <w:b/>
          <w:bCs/>
          <w:sz w:val="20"/>
        </w:rPr>
        <w:t>Cc:</w:t>
      </w:r>
      <w:r w:rsidRPr="00F669DA">
        <w:rPr>
          <w:rFonts w:ascii="Tahoma" w:eastAsia="Times New Roman" w:hAnsi="Tahoma" w:cs="Tahoma"/>
          <w:sz w:val="20"/>
        </w:rPr>
        <w:t xml:space="preserve"> Goolsby, Michael L. (RER)</w:t>
      </w:r>
      <w:r w:rsidRPr="00F669DA">
        <w:rPr>
          <w:rFonts w:ascii="Tahoma" w:eastAsia="Times New Roman" w:hAnsi="Tahoma" w:cs="Tahoma"/>
          <w:sz w:val="20"/>
        </w:rPr>
        <w:br/>
      </w:r>
      <w:r w:rsidRPr="00F669DA">
        <w:rPr>
          <w:rFonts w:ascii="Tahoma" w:eastAsia="Times New Roman" w:hAnsi="Tahoma" w:cs="Tahoma"/>
          <w:b/>
          <w:bCs/>
          <w:sz w:val="20"/>
        </w:rPr>
        <w:t>Subject:</w:t>
      </w:r>
      <w:r w:rsidRPr="00F669DA">
        <w:rPr>
          <w:rFonts w:ascii="Tahoma" w:eastAsia="Times New Roman" w:hAnsi="Tahoma" w:cs="Tahoma"/>
          <w:sz w:val="20"/>
        </w:rPr>
        <w:t xml:space="preserve"> RE: Comment on the draft 7th Edition (2021) Florida Building Code</w:t>
      </w:r>
    </w:p>
    <w:p w:rsidR="00CC16DC" w:rsidRPr="00F669DA" w:rsidRDefault="00CC16DC" w:rsidP="00CC16DC">
      <w:pPr>
        <w:spacing w:after="160" w:line="252" w:lineRule="auto"/>
        <w:rPr>
          <w:rFonts w:ascii="Calibri" w:eastAsiaTheme="minorHAnsi" w:hAnsi="Calibri" w:cs="Calibri"/>
          <w:szCs w:val="22"/>
        </w:rPr>
      </w:pPr>
    </w:p>
    <w:p w:rsidR="00CC16DC" w:rsidRPr="00F669DA" w:rsidRDefault="00CC16DC" w:rsidP="00CC16DC">
      <w:pPr>
        <w:spacing w:after="160" w:line="252" w:lineRule="auto"/>
        <w:rPr>
          <w:rFonts w:ascii="Calibri" w:eastAsiaTheme="minorHAnsi" w:hAnsi="Calibri" w:cs="Calibri"/>
          <w:sz w:val="24"/>
          <w:szCs w:val="24"/>
        </w:rPr>
      </w:pPr>
      <w:r w:rsidRPr="00F669DA">
        <w:rPr>
          <w:rFonts w:ascii="Calibri" w:eastAsiaTheme="minorHAnsi" w:hAnsi="Calibri" w:cs="Calibri"/>
          <w:sz w:val="24"/>
          <w:szCs w:val="24"/>
        </w:rPr>
        <w:t>Thank Mr. Hall,</w:t>
      </w:r>
    </w:p>
    <w:p w:rsidR="00CC16DC" w:rsidRPr="00F669DA" w:rsidRDefault="00CC16DC" w:rsidP="00CC16DC">
      <w:pPr>
        <w:spacing w:after="160" w:line="252" w:lineRule="auto"/>
        <w:rPr>
          <w:rFonts w:ascii="Calibri" w:eastAsiaTheme="minorHAnsi" w:hAnsi="Calibri" w:cs="Calibri"/>
          <w:sz w:val="24"/>
          <w:szCs w:val="24"/>
        </w:rPr>
      </w:pPr>
      <w:r w:rsidRPr="00F669DA">
        <w:rPr>
          <w:rFonts w:ascii="Calibri" w:eastAsiaTheme="minorHAnsi" w:hAnsi="Calibri" w:cs="Calibri"/>
          <w:sz w:val="24"/>
          <w:szCs w:val="24"/>
        </w:rPr>
        <w:t>I fully support this comment to further revise/correct the language used in Section 454.1.4.2.5 of the FBC-B…</w:t>
      </w:r>
    </w:p>
    <w:p w:rsidR="00CC16DC" w:rsidRPr="00F669DA" w:rsidRDefault="00CC16DC" w:rsidP="00CC16DC">
      <w:pPr>
        <w:spacing w:after="160" w:line="252" w:lineRule="auto"/>
        <w:rPr>
          <w:rFonts w:ascii="Calibri" w:eastAsiaTheme="minorHAnsi" w:hAnsi="Calibri" w:cs="Calibri"/>
          <w:sz w:val="24"/>
          <w:szCs w:val="24"/>
        </w:rPr>
      </w:pPr>
      <w:r w:rsidRPr="00F669DA">
        <w:rPr>
          <w:rFonts w:ascii="Calibri" w:eastAsiaTheme="minorHAnsi" w:hAnsi="Calibri" w:cs="Calibri"/>
          <w:sz w:val="24"/>
          <w:szCs w:val="24"/>
        </w:rPr>
        <w:t>TAKE CARE,</w:t>
      </w:r>
    </w:p>
    <w:tbl>
      <w:tblPr>
        <w:tblW w:w="9360" w:type="dxa"/>
        <w:tblCellSpacing w:w="0" w:type="dxa"/>
        <w:tblCellMar>
          <w:left w:w="0" w:type="dxa"/>
          <w:right w:w="0" w:type="dxa"/>
        </w:tblCellMar>
        <w:tblLook w:val="04A0" w:firstRow="1" w:lastRow="0" w:firstColumn="1" w:lastColumn="0" w:noHBand="0" w:noVBand="1"/>
      </w:tblPr>
      <w:tblGrid>
        <w:gridCol w:w="9360"/>
      </w:tblGrid>
      <w:tr w:rsidR="00CC16DC" w:rsidRPr="00F669DA" w:rsidTr="006E0B19">
        <w:trPr>
          <w:trHeight w:val="288"/>
          <w:tblCellSpacing w:w="0" w:type="dxa"/>
        </w:trPr>
        <w:tc>
          <w:tcPr>
            <w:tcW w:w="9360" w:type="dxa"/>
            <w:hideMark/>
          </w:tcPr>
          <w:p w:rsidR="00CC16DC" w:rsidRPr="00F669DA" w:rsidRDefault="00CC16DC" w:rsidP="006E0B19">
            <w:pPr>
              <w:rPr>
                <w:rFonts w:ascii="Calibri" w:eastAsiaTheme="minorHAnsi" w:hAnsi="Calibri" w:cs="Calibri"/>
                <w:sz w:val="24"/>
                <w:szCs w:val="24"/>
              </w:rPr>
            </w:pPr>
            <w:r w:rsidRPr="00F669DA">
              <w:rPr>
                <w:rFonts w:ascii="Calibri" w:eastAsiaTheme="minorHAnsi" w:hAnsi="Calibri" w:cs="Calibri"/>
                <w:sz w:val="24"/>
                <w:szCs w:val="24"/>
              </w:rPr>
              <w:lastRenderedPageBreak/>
              <w:t>Bryan</w:t>
            </w:r>
          </w:p>
        </w:tc>
      </w:tr>
      <w:tr w:rsidR="00CC16DC" w:rsidRPr="00F669DA" w:rsidTr="006E0B19">
        <w:trPr>
          <w:tblCellSpacing w:w="0" w:type="dxa"/>
        </w:trPr>
        <w:tc>
          <w:tcPr>
            <w:tcW w:w="9360" w:type="dxa"/>
            <w:hideMark/>
          </w:tcPr>
          <w:tbl>
            <w:tblPr>
              <w:tblW w:w="9360" w:type="dxa"/>
              <w:tblCellSpacing w:w="0" w:type="dxa"/>
              <w:tblCellMar>
                <w:left w:w="0" w:type="dxa"/>
                <w:right w:w="0" w:type="dxa"/>
              </w:tblCellMar>
              <w:tblLook w:val="04A0" w:firstRow="1" w:lastRow="0" w:firstColumn="1" w:lastColumn="0" w:noHBand="0" w:noVBand="1"/>
            </w:tblPr>
            <w:tblGrid>
              <w:gridCol w:w="3430"/>
              <w:gridCol w:w="5930"/>
            </w:tblGrid>
            <w:tr w:rsidR="00CC16DC" w:rsidRPr="00F669DA" w:rsidTr="006E0B19">
              <w:trPr>
                <w:trHeight w:val="288"/>
                <w:tblCellSpacing w:w="0" w:type="dxa"/>
              </w:trPr>
              <w:tc>
                <w:tcPr>
                  <w:tcW w:w="3430" w:type="dxa"/>
                  <w:vMerge w:val="restart"/>
                  <w:hideMark/>
                </w:tcPr>
                <w:p w:rsidR="00CC16DC" w:rsidRPr="00F669DA" w:rsidRDefault="00CC16DC" w:rsidP="006E0B19">
                  <w:pPr>
                    <w:spacing w:after="240"/>
                    <w:rPr>
                      <w:rFonts w:eastAsiaTheme="minorHAnsi" w:cs="Arial"/>
                      <w:color w:val="000000"/>
                      <w:szCs w:val="22"/>
                    </w:rPr>
                  </w:pPr>
                  <w:r w:rsidRPr="00F669DA">
                    <w:rPr>
                      <w:rFonts w:ascii="Calibri" w:eastAsiaTheme="minorHAnsi" w:hAnsi="Calibri" w:cs="Calibri"/>
                      <w:noProof/>
                      <w:color w:val="000000"/>
                      <w:szCs w:val="22"/>
                    </w:rPr>
                    <w:drawing>
                      <wp:inline distT="0" distB="0" distL="0" distR="0" wp14:anchorId="0D6EDC64" wp14:editId="71099F9F">
                        <wp:extent cx="1924050" cy="609600"/>
                        <wp:effectExtent l="0" t="0" r="0" b="0"/>
                        <wp:docPr id="1" name="Picture 1" descr="NEMA-Logo-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MA-Logo-Teal"/>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1924050" cy="609600"/>
                                </a:xfrm>
                                <a:prstGeom prst="rect">
                                  <a:avLst/>
                                </a:prstGeom>
                                <a:noFill/>
                                <a:ln>
                                  <a:noFill/>
                                </a:ln>
                              </pic:spPr>
                            </pic:pic>
                          </a:graphicData>
                        </a:graphic>
                      </wp:inline>
                    </w:drawing>
                  </w:r>
                </w:p>
                <w:p w:rsidR="00CC16DC" w:rsidRPr="00F669DA" w:rsidRDefault="00CC16DC" w:rsidP="006E0B19">
                  <w:pPr>
                    <w:rPr>
                      <w:rFonts w:eastAsiaTheme="minorHAnsi" w:cs="Arial"/>
                      <w:color w:val="000000"/>
                      <w:szCs w:val="22"/>
                    </w:rPr>
                  </w:pPr>
                  <w:r w:rsidRPr="00F669DA">
                    <w:rPr>
                      <w:rFonts w:ascii="Calibri" w:eastAsiaTheme="minorHAnsi" w:hAnsi="Calibri" w:cs="Calibri"/>
                      <w:color w:val="000000"/>
                      <w:szCs w:val="22"/>
                    </w:rPr>
                    <w:t xml:space="preserve">  </w:t>
                  </w:r>
                  <w:r w:rsidRPr="00F669DA">
                    <w:rPr>
                      <w:rFonts w:ascii="Calibri" w:eastAsiaTheme="minorHAnsi" w:hAnsi="Calibri" w:cs="Calibri"/>
                      <w:noProof/>
                      <w:color w:val="000000"/>
                      <w:szCs w:val="22"/>
                    </w:rPr>
                    <w:drawing>
                      <wp:inline distT="0" distB="0" distL="0" distR="0" wp14:anchorId="193D98EA" wp14:editId="6B20101D">
                        <wp:extent cx="266700" cy="266700"/>
                        <wp:effectExtent l="0" t="0" r="0" b="0"/>
                        <wp:docPr id="2" name="Picture 2" descr="facebook">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69DA">
                    <w:rPr>
                      <w:rFonts w:ascii="Calibri" w:eastAsiaTheme="minorHAnsi" w:hAnsi="Calibri" w:cs="Calibri"/>
                      <w:color w:val="000000"/>
                      <w:szCs w:val="22"/>
                    </w:rPr>
                    <w:t> </w:t>
                  </w:r>
                  <w:r w:rsidRPr="00F669DA">
                    <w:rPr>
                      <w:rFonts w:ascii="Calibri" w:eastAsiaTheme="minorHAnsi" w:hAnsi="Calibri" w:cs="Calibri"/>
                      <w:noProof/>
                      <w:color w:val="000000"/>
                      <w:szCs w:val="22"/>
                    </w:rPr>
                    <w:drawing>
                      <wp:inline distT="0" distB="0" distL="0" distR="0" wp14:anchorId="481710D6" wp14:editId="37EDB596">
                        <wp:extent cx="266700" cy="266700"/>
                        <wp:effectExtent l="0" t="0" r="0" b="0"/>
                        <wp:docPr id="3" name="Picture 3" descr="twitte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69DA">
                    <w:rPr>
                      <w:rFonts w:ascii="Calibri" w:eastAsiaTheme="minorHAnsi" w:hAnsi="Calibri" w:cs="Calibri"/>
                      <w:color w:val="000000"/>
                      <w:szCs w:val="22"/>
                    </w:rPr>
                    <w:t> </w:t>
                  </w:r>
                  <w:r w:rsidRPr="00F669DA">
                    <w:rPr>
                      <w:rFonts w:ascii="Calibri" w:eastAsiaTheme="minorHAnsi" w:hAnsi="Calibri" w:cs="Calibri"/>
                      <w:noProof/>
                      <w:color w:val="000000"/>
                      <w:szCs w:val="22"/>
                    </w:rPr>
                    <w:drawing>
                      <wp:inline distT="0" distB="0" distL="0" distR="0" wp14:anchorId="355C1F26" wp14:editId="2A23BE9C">
                        <wp:extent cx="266700" cy="266700"/>
                        <wp:effectExtent l="0" t="0" r="0" b="0"/>
                        <wp:docPr id="4" name="Picture 4" descr="blo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g"/>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69DA">
                    <w:rPr>
                      <w:rFonts w:ascii="Calibri" w:eastAsiaTheme="minorHAnsi" w:hAnsi="Calibri" w:cs="Calibri"/>
                      <w:color w:val="000000"/>
                      <w:szCs w:val="22"/>
                    </w:rPr>
                    <w:t> </w:t>
                  </w:r>
                  <w:r w:rsidRPr="00F669DA">
                    <w:rPr>
                      <w:rFonts w:ascii="Calibri" w:eastAsiaTheme="minorHAnsi" w:hAnsi="Calibri" w:cs="Calibri"/>
                      <w:noProof/>
                      <w:color w:val="000000"/>
                      <w:szCs w:val="22"/>
                    </w:rPr>
                    <w:drawing>
                      <wp:inline distT="0" distB="0" distL="0" distR="0" wp14:anchorId="38543D4A" wp14:editId="12C018D3">
                        <wp:extent cx="266700" cy="266700"/>
                        <wp:effectExtent l="0" t="0" r="0" b="0"/>
                        <wp:docPr id="5" name="Picture 5" descr="youTub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Tube"/>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69DA">
                    <w:rPr>
                      <w:rFonts w:ascii="Calibri" w:eastAsiaTheme="minorHAnsi" w:hAnsi="Calibri" w:cs="Calibri"/>
                      <w:color w:val="000000"/>
                      <w:szCs w:val="22"/>
                    </w:rPr>
                    <w:t> </w:t>
                  </w:r>
                  <w:r w:rsidRPr="00F669DA">
                    <w:rPr>
                      <w:rFonts w:ascii="Calibri" w:eastAsiaTheme="minorHAnsi" w:hAnsi="Calibri" w:cs="Calibri"/>
                      <w:noProof/>
                      <w:color w:val="000000"/>
                      <w:szCs w:val="22"/>
                    </w:rPr>
                    <w:drawing>
                      <wp:inline distT="0" distB="0" distL="0" distR="0" wp14:anchorId="6E85216E" wp14:editId="04605D72">
                        <wp:extent cx="266700" cy="266700"/>
                        <wp:effectExtent l="0" t="0" r="0" b="0"/>
                        <wp:docPr id="6" name="Picture 6" descr="rssFeed">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ssFeed"/>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69DA">
                    <w:rPr>
                      <w:rFonts w:ascii="Calibri" w:eastAsiaTheme="minorHAnsi" w:hAnsi="Calibri" w:cs="Calibri"/>
                      <w:color w:val="000000"/>
                      <w:szCs w:val="22"/>
                    </w:rPr>
                    <w:t> </w:t>
                  </w:r>
                  <w:r w:rsidRPr="00F669DA">
                    <w:rPr>
                      <w:rFonts w:ascii="Calibri" w:eastAsiaTheme="minorHAnsi" w:hAnsi="Calibri" w:cs="Calibri"/>
                      <w:noProof/>
                      <w:color w:val="000000"/>
                      <w:szCs w:val="22"/>
                    </w:rPr>
                    <w:drawing>
                      <wp:inline distT="0" distB="0" distL="0" distR="0" wp14:anchorId="7FED81DA" wp14:editId="559B852D">
                        <wp:extent cx="266700" cy="266700"/>
                        <wp:effectExtent l="0" t="0" r="0" b="0"/>
                        <wp:docPr id="7" name="Picture 7" descr="linkedIn">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5930" w:type="dxa"/>
                  <w:hideMark/>
                </w:tcPr>
                <w:p w:rsidR="00CC16DC" w:rsidRPr="00F669DA" w:rsidRDefault="00CC16DC" w:rsidP="006E0B19">
                  <w:pPr>
                    <w:rPr>
                      <w:rFonts w:ascii="Times New Roman" w:eastAsiaTheme="minorHAnsi" w:hAnsi="Times New Roman"/>
                      <w:b/>
                      <w:bCs/>
                      <w:color w:val="000000"/>
                      <w:sz w:val="24"/>
                      <w:szCs w:val="24"/>
                    </w:rPr>
                  </w:pPr>
                  <w:r w:rsidRPr="00F669DA">
                    <w:rPr>
                      <w:rFonts w:ascii="Times New Roman" w:eastAsiaTheme="minorHAnsi" w:hAnsi="Times New Roman"/>
                      <w:b/>
                      <w:bCs/>
                      <w:color w:val="000000"/>
                      <w:sz w:val="24"/>
                      <w:szCs w:val="24"/>
                    </w:rPr>
                    <w:t>Bryan P. Holland, MCP, AStd.</w:t>
                  </w:r>
                </w:p>
                <w:p w:rsidR="00CC16DC" w:rsidRPr="00F669DA" w:rsidRDefault="00CC16DC" w:rsidP="006E0B19">
                  <w:pPr>
                    <w:rPr>
                      <w:rFonts w:ascii="Times New Roman" w:eastAsiaTheme="minorHAnsi" w:hAnsi="Times New Roman"/>
                      <w:b/>
                      <w:bCs/>
                      <w:color w:val="000000"/>
                      <w:sz w:val="24"/>
                      <w:szCs w:val="24"/>
                    </w:rPr>
                  </w:pPr>
                  <w:r w:rsidRPr="00F669DA">
                    <w:rPr>
                      <w:rFonts w:ascii="Times New Roman" w:eastAsiaTheme="minorHAnsi" w:hAnsi="Times New Roman"/>
                      <w:b/>
                      <w:bCs/>
                      <w:color w:val="000000"/>
                      <w:sz w:val="24"/>
                      <w:szCs w:val="24"/>
                    </w:rPr>
                    <w:t>Southern Region Field Representative</w:t>
                  </w:r>
                </w:p>
              </w:tc>
            </w:tr>
            <w:tr w:rsidR="00CC16DC" w:rsidRPr="00F669DA" w:rsidTr="006E0B19">
              <w:trPr>
                <w:tblCellSpacing w:w="0" w:type="dxa"/>
              </w:trPr>
              <w:tc>
                <w:tcPr>
                  <w:tcW w:w="0" w:type="auto"/>
                  <w:vMerge/>
                  <w:vAlign w:val="center"/>
                  <w:hideMark/>
                </w:tcPr>
                <w:p w:rsidR="00CC16DC" w:rsidRPr="00F669DA" w:rsidRDefault="00CC16DC" w:rsidP="006E0B19">
                  <w:pPr>
                    <w:rPr>
                      <w:rFonts w:eastAsiaTheme="minorHAnsi" w:cs="Arial"/>
                      <w:color w:val="000000"/>
                      <w:szCs w:val="22"/>
                    </w:rPr>
                  </w:pPr>
                </w:p>
              </w:tc>
              <w:tc>
                <w:tcPr>
                  <w:tcW w:w="5930" w:type="dxa"/>
                  <w:hideMark/>
                </w:tcPr>
                <w:p w:rsidR="00CC16DC" w:rsidRPr="00F669DA" w:rsidRDefault="00CC16DC" w:rsidP="006E0B19">
                  <w:pPr>
                    <w:rPr>
                      <w:rFonts w:ascii="Times New Roman" w:eastAsiaTheme="minorHAnsi" w:hAnsi="Times New Roman"/>
                      <w:color w:val="000000"/>
                      <w:szCs w:val="22"/>
                    </w:rPr>
                  </w:pPr>
                  <w:r w:rsidRPr="00F669DA">
                    <w:rPr>
                      <w:rFonts w:ascii="Times New Roman" w:eastAsiaTheme="minorHAnsi" w:hAnsi="Times New Roman"/>
                      <w:color w:val="000000"/>
                      <w:szCs w:val="22"/>
                    </w:rPr>
                    <w:t>130 Duxbury Avenue</w:t>
                  </w:r>
                </w:p>
                <w:p w:rsidR="00CC16DC" w:rsidRPr="00F669DA" w:rsidRDefault="00CC16DC" w:rsidP="006E0B19">
                  <w:pPr>
                    <w:rPr>
                      <w:rFonts w:ascii="Times New Roman" w:eastAsiaTheme="minorHAnsi" w:hAnsi="Times New Roman"/>
                      <w:color w:val="000000"/>
                      <w:szCs w:val="22"/>
                    </w:rPr>
                  </w:pPr>
                  <w:r w:rsidRPr="00F669DA">
                    <w:rPr>
                      <w:rFonts w:ascii="Times New Roman" w:eastAsiaTheme="minorHAnsi" w:hAnsi="Times New Roman"/>
                      <w:color w:val="000000"/>
                      <w:szCs w:val="22"/>
                    </w:rPr>
                    <w:t>Port Charlotte, FL 33952</w:t>
                  </w:r>
                </w:p>
              </w:tc>
            </w:tr>
            <w:tr w:rsidR="00CC16DC" w:rsidRPr="00F669DA" w:rsidTr="006E0B19">
              <w:trPr>
                <w:tblCellSpacing w:w="0" w:type="dxa"/>
              </w:trPr>
              <w:tc>
                <w:tcPr>
                  <w:tcW w:w="0" w:type="auto"/>
                  <w:vMerge/>
                  <w:vAlign w:val="center"/>
                  <w:hideMark/>
                </w:tcPr>
                <w:p w:rsidR="00CC16DC" w:rsidRPr="00F669DA" w:rsidRDefault="00CC16DC" w:rsidP="006E0B19">
                  <w:pPr>
                    <w:rPr>
                      <w:rFonts w:eastAsiaTheme="minorHAnsi" w:cs="Arial"/>
                      <w:color w:val="000000"/>
                      <w:szCs w:val="22"/>
                    </w:rPr>
                  </w:pPr>
                </w:p>
              </w:tc>
              <w:tc>
                <w:tcPr>
                  <w:tcW w:w="5930" w:type="dxa"/>
                  <w:hideMark/>
                </w:tcPr>
                <w:p w:rsidR="00CC16DC" w:rsidRPr="00F669DA" w:rsidRDefault="00CC16DC" w:rsidP="006E0B19">
                  <w:pPr>
                    <w:rPr>
                      <w:rFonts w:ascii="Times New Roman" w:eastAsiaTheme="minorHAnsi" w:hAnsi="Times New Roman"/>
                      <w:color w:val="000000"/>
                      <w:szCs w:val="22"/>
                    </w:rPr>
                  </w:pPr>
                  <w:r w:rsidRPr="00F669DA">
                    <w:rPr>
                      <w:rFonts w:ascii="Times New Roman" w:eastAsiaTheme="minorHAnsi" w:hAnsi="Times New Roman"/>
                      <w:b/>
                      <w:bCs/>
                      <w:color w:val="000000"/>
                      <w:szCs w:val="22"/>
                    </w:rPr>
                    <w:t>Office Phone:</w:t>
                  </w:r>
                  <w:r w:rsidRPr="00F669DA">
                    <w:rPr>
                      <w:rFonts w:ascii="Times New Roman" w:eastAsiaTheme="minorHAnsi" w:hAnsi="Times New Roman"/>
                      <w:color w:val="000000"/>
                      <w:szCs w:val="22"/>
                    </w:rPr>
                    <w:t xml:space="preserve"> 941.613.6802</w:t>
                  </w:r>
                </w:p>
                <w:p w:rsidR="00CC16DC" w:rsidRPr="00F669DA" w:rsidRDefault="00CC16DC" w:rsidP="006E0B19">
                  <w:pPr>
                    <w:rPr>
                      <w:rFonts w:ascii="Times New Roman" w:eastAsiaTheme="minorHAnsi" w:hAnsi="Times New Roman"/>
                      <w:color w:val="000000"/>
                      <w:szCs w:val="22"/>
                    </w:rPr>
                  </w:pPr>
                  <w:r w:rsidRPr="00F669DA">
                    <w:rPr>
                      <w:rFonts w:ascii="Times New Roman" w:eastAsiaTheme="minorHAnsi" w:hAnsi="Times New Roman"/>
                      <w:b/>
                      <w:bCs/>
                      <w:color w:val="000000"/>
                      <w:szCs w:val="22"/>
                    </w:rPr>
                    <w:t xml:space="preserve">Mobile Phone: </w:t>
                  </w:r>
                  <w:r w:rsidRPr="00F669DA">
                    <w:rPr>
                      <w:rFonts w:ascii="Times New Roman" w:eastAsiaTheme="minorHAnsi" w:hAnsi="Times New Roman"/>
                      <w:color w:val="000000"/>
                      <w:szCs w:val="22"/>
                    </w:rPr>
                    <w:t>972.358.0543</w:t>
                  </w:r>
                </w:p>
                <w:p w:rsidR="00CC16DC" w:rsidRPr="00F669DA" w:rsidRDefault="00CC16DC" w:rsidP="006E0B19">
                  <w:pPr>
                    <w:rPr>
                      <w:rFonts w:ascii="Times New Roman" w:eastAsiaTheme="minorHAnsi" w:hAnsi="Times New Roman"/>
                      <w:b/>
                      <w:bCs/>
                      <w:color w:val="000000"/>
                      <w:szCs w:val="22"/>
                    </w:rPr>
                  </w:pPr>
                  <w:r w:rsidRPr="00F669DA">
                    <w:rPr>
                      <w:rFonts w:ascii="Times New Roman" w:eastAsiaTheme="minorHAnsi" w:hAnsi="Times New Roman"/>
                      <w:b/>
                      <w:bCs/>
                      <w:color w:val="000000"/>
                      <w:szCs w:val="22"/>
                    </w:rPr>
                    <w:t>Email:</w:t>
                  </w:r>
                  <w:r w:rsidRPr="00F669DA">
                    <w:rPr>
                      <w:rFonts w:ascii="Times New Roman" w:eastAsiaTheme="minorHAnsi" w:hAnsi="Times New Roman"/>
                      <w:color w:val="000000"/>
                      <w:szCs w:val="22"/>
                    </w:rPr>
                    <w:t xml:space="preserve"> </w:t>
                  </w:r>
                  <w:hyperlink r:id="rId43" w:history="1">
                    <w:r w:rsidRPr="00F669DA">
                      <w:rPr>
                        <w:rFonts w:ascii="Times New Roman" w:eastAsiaTheme="minorHAnsi" w:hAnsi="Times New Roman"/>
                        <w:color w:val="0000FF"/>
                        <w:szCs w:val="22"/>
                        <w:u w:val="single"/>
                      </w:rPr>
                      <w:t>Bryan.Holland@NEMA.org</w:t>
                    </w:r>
                  </w:hyperlink>
                </w:p>
                <w:p w:rsidR="00CC16DC" w:rsidRPr="00F669DA" w:rsidRDefault="009F441B" w:rsidP="006E0B19">
                  <w:pPr>
                    <w:rPr>
                      <w:rFonts w:ascii="Times New Roman" w:eastAsiaTheme="minorHAnsi" w:hAnsi="Times New Roman"/>
                      <w:color w:val="1F497D"/>
                      <w:szCs w:val="22"/>
                    </w:rPr>
                  </w:pPr>
                  <w:hyperlink r:id="rId44" w:history="1">
                    <w:r w:rsidR="00CC16DC" w:rsidRPr="00F669DA">
                      <w:rPr>
                        <w:rFonts w:ascii="Times New Roman" w:eastAsiaTheme="minorHAnsi" w:hAnsi="Times New Roman"/>
                        <w:color w:val="0000FF"/>
                        <w:szCs w:val="22"/>
                        <w:u w:val="single"/>
                      </w:rPr>
                      <w:t>www.NEMA.org/Technical/FieldReps</w:t>
                    </w:r>
                  </w:hyperlink>
                </w:p>
              </w:tc>
            </w:tr>
          </w:tbl>
          <w:p w:rsidR="00CC16DC" w:rsidRPr="00F669DA" w:rsidRDefault="00CC16DC" w:rsidP="006E0B19">
            <w:pPr>
              <w:rPr>
                <w:rFonts w:ascii="Times New Roman" w:eastAsia="Times New Roman" w:hAnsi="Times New Roman"/>
                <w:sz w:val="20"/>
              </w:rPr>
            </w:pPr>
          </w:p>
        </w:tc>
      </w:tr>
    </w:tbl>
    <w:p w:rsidR="00CC16DC" w:rsidRPr="00F669DA" w:rsidRDefault="00CC16DC" w:rsidP="00F669DA">
      <w:pPr>
        <w:autoSpaceDE w:val="0"/>
        <w:autoSpaceDN w:val="0"/>
        <w:rPr>
          <w:rFonts w:eastAsiaTheme="minorHAnsi" w:cs="Arial"/>
          <w:color w:val="44546A"/>
          <w:szCs w:val="22"/>
        </w:rPr>
      </w:pPr>
    </w:p>
    <w:p w:rsidR="00F669DA" w:rsidRDefault="00F669DA" w:rsidP="00F669DA"/>
    <w:p w:rsidR="00F669DA" w:rsidRPr="00D661B0" w:rsidRDefault="00F669DA" w:rsidP="00F669DA">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sidR="00490734">
        <w:rPr>
          <w:rFonts w:eastAsia="Times New Roman" w:cs="Arial"/>
          <w:b/>
          <w:bCs/>
          <w:color w:val="000000"/>
          <w:kern w:val="36"/>
          <w:sz w:val="21"/>
          <w:szCs w:val="21"/>
        </w:rPr>
        <w:t>/SW</w:t>
      </w:r>
      <w:r w:rsidRPr="00D661B0">
        <w:rPr>
          <w:rFonts w:eastAsia="Times New Roman" w:cs="Arial"/>
          <w:b/>
          <w:bCs/>
          <w:color w:val="000000"/>
          <w:kern w:val="36"/>
          <w:sz w:val="21"/>
          <w:szCs w:val="21"/>
        </w:rPr>
        <w:t xml:space="preserve"> Recommendation</w:t>
      </w:r>
      <w:r>
        <w:rPr>
          <w:rFonts w:eastAsia="Times New Roman" w:cs="Arial"/>
          <w:b/>
          <w:bCs/>
          <w:color w:val="000000"/>
          <w:kern w:val="36"/>
          <w:sz w:val="21"/>
          <w:szCs w:val="21"/>
        </w:rPr>
        <w:t>/SW</w:t>
      </w:r>
      <w:r w:rsidRPr="00D661B0">
        <w:rPr>
          <w:rFonts w:eastAsia="Times New Roman" w:cs="Arial"/>
          <w:b/>
          <w:bCs/>
          <w:color w:val="000000"/>
          <w:kern w:val="36"/>
          <w:sz w:val="21"/>
          <w:szCs w:val="21"/>
        </w:rPr>
        <w:t>:</w:t>
      </w:r>
      <w:r w:rsidR="00AD298F">
        <w:rPr>
          <w:rFonts w:eastAsia="Times New Roman" w:cs="Arial"/>
          <w:b/>
          <w:bCs/>
          <w:color w:val="000000"/>
          <w:kern w:val="36"/>
          <w:sz w:val="21"/>
          <w:szCs w:val="21"/>
        </w:rPr>
        <w:t xml:space="preserve"> AS</w:t>
      </w:r>
    </w:p>
    <w:p w:rsidR="00F669DA" w:rsidRDefault="00F669DA" w:rsidP="00F669DA">
      <w:pPr>
        <w:shd w:val="clear" w:color="auto" w:fill="FFFFFF"/>
        <w:outlineLvl w:val="0"/>
        <w:rPr>
          <w:rFonts w:eastAsia="Times New Roman" w:cs="Arial"/>
          <w:bCs/>
          <w:color w:val="000000"/>
          <w:kern w:val="36"/>
          <w:sz w:val="21"/>
          <w:szCs w:val="21"/>
          <w:u w:val="single"/>
        </w:rPr>
      </w:pPr>
    </w:p>
    <w:p w:rsidR="00F669DA" w:rsidRPr="00F669DA" w:rsidRDefault="00F669DA" w:rsidP="00F669DA">
      <w:pPr>
        <w:shd w:val="clear" w:color="auto" w:fill="FFFFFF"/>
        <w:outlineLvl w:val="0"/>
        <w:rPr>
          <w:rFonts w:eastAsia="Times New Roman" w:cs="Arial"/>
          <w:b/>
          <w:bCs/>
          <w:color w:val="00B0F0"/>
          <w:kern w:val="36"/>
          <w:sz w:val="21"/>
          <w:szCs w:val="21"/>
        </w:rPr>
      </w:pPr>
      <w:r w:rsidRPr="00F669DA">
        <w:rPr>
          <w:rFonts w:eastAsia="Times New Roman" w:cs="Arial"/>
          <w:b/>
          <w:bCs/>
          <w:color w:val="00B0F0"/>
          <w:kern w:val="36"/>
          <w:sz w:val="21"/>
          <w:szCs w:val="21"/>
        </w:rPr>
        <w:t>TAC</w:t>
      </w:r>
      <w:r w:rsidR="00490734">
        <w:rPr>
          <w:rFonts w:eastAsia="Times New Roman" w:cs="Arial"/>
          <w:b/>
          <w:bCs/>
          <w:color w:val="00B0F0"/>
          <w:kern w:val="36"/>
          <w:sz w:val="21"/>
          <w:szCs w:val="21"/>
        </w:rPr>
        <w:t>/E Recommendation</w:t>
      </w:r>
      <w:r w:rsidRPr="00F669DA">
        <w:rPr>
          <w:rFonts w:eastAsia="Times New Roman" w:cs="Arial"/>
          <w:b/>
          <w:bCs/>
          <w:color w:val="00B0F0"/>
          <w:kern w:val="36"/>
          <w:sz w:val="21"/>
          <w:szCs w:val="21"/>
        </w:rPr>
        <w:t>:</w:t>
      </w:r>
      <w:r w:rsidR="00AD298F">
        <w:rPr>
          <w:rFonts w:eastAsia="Times New Roman" w:cs="Arial"/>
          <w:b/>
          <w:bCs/>
          <w:color w:val="00B0F0"/>
          <w:kern w:val="36"/>
          <w:sz w:val="21"/>
          <w:szCs w:val="21"/>
        </w:rPr>
        <w:t xml:space="preserve"> AS</w:t>
      </w:r>
    </w:p>
    <w:p w:rsidR="00F669DA" w:rsidRPr="00D661B0" w:rsidRDefault="00F669DA" w:rsidP="00F669DA">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334CC5" w:rsidRPr="00334CC5" w:rsidRDefault="00334CC5"/>
    <w:sectPr w:rsidR="00334CC5" w:rsidRPr="00334CC5" w:rsidSect="00334CC5">
      <w:headerReference w:type="even" r:id="rId45"/>
      <w:headerReference w:type="default" r:id="rId46"/>
      <w:footerReference w:type="even" r:id="rId47"/>
      <w:footerReference w:type="default" r:id="rId48"/>
      <w:headerReference w:type="first" r:id="rId49"/>
      <w:footerReference w:type="first" r:id="rId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B19" w:rsidRDefault="006E0B19" w:rsidP="00E86BF5">
      <w:r>
        <w:separator/>
      </w:r>
    </w:p>
  </w:endnote>
  <w:endnote w:type="continuationSeparator" w:id="0">
    <w:p w:rsidR="006E0B19" w:rsidRDefault="006E0B19" w:rsidP="00E8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Myriad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19" w:rsidRDefault="006E0B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83804"/>
      <w:docPartObj>
        <w:docPartGallery w:val="Page Numbers (Bottom of Page)"/>
        <w:docPartUnique/>
      </w:docPartObj>
    </w:sdtPr>
    <w:sdtEndPr>
      <w:rPr>
        <w:noProof/>
      </w:rPr>
    </w:sdtEndPr>
    <w:sdtContent>
      <w:bookmarkStart w:id="3" w:name="_GoBack" w:displacedByCustomXml="prev"/>
      <w:bookmarkEnd w:id="3" w:displacedByCustomXml="prev"/>
      <w:p w:rsidR="009F441B" w:rsidRDefault="009F441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E0B19" w:rsidRDefault="006E0B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19" w:rsidRDefault="006E0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B19" w:rsidRDefault="006E0B19" w:rsidP="00E86BF5">
      <w:r>
        <w:separator/>
      </w:r>
    </w:p>
  </w:footnote>
  <w:footnote w:type="continuationSeparator" w:id="0">
    <w:p w:rsidR="006E0B19" w:rsidRDefault="006E0B19" w:rsidP="00E86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19" w:rsidRDefault="006E0B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19" w:rsidRDefault="006E0B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19" w:rsidRDefault="006E0B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B25E9"/>
    <w:multiLevelType w:val="hybridMultilevel"/>
    <w:tmpl w:val="483201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89"/>
    <w:rsid w:val="000F7F89"/>
    <w:rsid w:val="002D2630"/>
    <w:rsid w:val="00334CC5"/>
    <w:rsid w:val="00490734"/>
    <w:rsid w:val="006D565A"/>
    <w:rsid w:val="006E0B19"/>
    <w:rsid w:val="009F441B"/>
    <w:rsid w:val="00A561EE"/>
    <w:rsid w:val="00AD298F"/>
    <w:rsid w:val="00B850E3"/>
    <w:rsid w:val="00CC16DC"/>
    <w:rsid w:val="00D02B7E"/>
    <w:rsid w:val="00E86BF5"/>
    <w:rsid w:val="00F669DA"/>
    <w:rsid w:val="00FC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CC5"/>
    <w:rPr>
      <w:rFonts w:ascii="Tahoma" w:hAnsi="Tahoma" w:cs="Tahoma"/>
      <w:sz w:val="16"/>
      <w:szCs w:val="16"/>
    </w:rPr>
  </w:style>
  <w:style w:type="character" w:customStyle="1" w:styleId="BalloonTextChar">
    <w:name w:val="Balloon Text Char"/>
    <w:basedOn w:val="DefaultParagraphFont"/>
    <w:link w:val="BalloonText"/>
    <w:uiPriority w:val="99"/>
    <w:semiHidden/>
    <w:rsid w:val="00334CC5"/>
    <w:rPr>
      <w:rFonts w:ascii="Tahoma" w:hAnsi="Tahoma" w:cs="Tahoma"/>
      <w:sz w:val="16"/>
      <w:szCs w:val="16"/>
    </w:rPr>
  </w:style>
  <w:style w:type="paragraph" w:styleId="Header">
    <w:name w:val="header"/>
    <w:basedOn w:val="Normal"/>
    <w:link w:val="HeaderChar"/>
    <w:uiPriority w:val="99"/>
    <w:unhideWhenUsed/>
    <w:rsid w:val="00E86BF5"/>
    <w:pPr>
      <w:tabs>
        <w:tab w:val="center" w:pos="4680"/>
        <w:tab w:val="right" w:pos="9360"/>
      </w:tabs>
    </w:pPr>
  </w:style>
  <w:style w:type="character" w:customStyle="1" w:styleId="HeaderChar">
    <w:name w:val="Header Char"/>
    <w:basedOn w:val="DefaultParagraphFont"/>
    <w:link w:val="Header"/>
    <w:uiPriority w:val="99"/>
    <w:rsid w:val="00E86BF5"/>
  </w:style>
  <w:style w:type="paragraph" w:styleId="Footer">
    <w:name w:val="footer"/>
    <w:basedOn w:val="Normal"/>
    <w:link w:val="FooterChar"/>
    <w:uiPriority w:val="99"/>
    <w:unhideWhenUsed/>
    <w:rsid w:val="00E86BF5"/>
    <w:pPr>
      <w:tabs>
        <w:tab w:val="center" w:pos="4680"/>
        <w:tab w:val="right" w:pos="9360"/>
      </w:tabs>
    </w:pPr>
  </w:style>
  <w:style w:type="character" w:customStyle="1" w:styleId="FooterChar">
    <w:name w:val="Footer Char"/>
    <w:basedOn w:val="DefaultParagraphFont"/>
    <w:link w:val="Footer"/>
    <w:uiPriority w:val="99"/>
    <w:rsid w:val="00E86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CC5"/>
    <w:rPr>
      <w:rFonts w:ascii="Tahoma" w:hAnsi="Tahoma" w:cs="Tahoma"/>
      <w:sz w:val="16"/>
      <w:szCs w:val="16"/>
    </w:rPr>
  </w:style>
  <w:style w:type="character" w:customStyle="1" w:styleId="BalloonTextChar">
    <w:name w:val="Balloon Text Char"/>
    <w:basedOn w:val="DefaultParagraphFont"/>
    <w:link w:val="BalloonText"/>
    <w:uiPriority w:val="99"/>
    <w:semiHidden/>
    <w:rsid w:val="00334CC5"/>
    <w:rPr>
      <w:rFonts w:ascii="Tahoma" w:hAnsi="Tahoma" w:cs="Tahoma"/>
      <w:sz w:val="16"/>
      <w:szCs w:val="16"/>
    </w:rPr>
  </w:style>
  <w:style w:type="paragraph" w:styleId="Header">
    <w:name w:val="header"/>
    <w:basedOn w:val="Normal"/>
    <w:link w:val="HeaderChar"/>
    <w:uiPriority w:val="99"/>
    <w:unhideWhenUsed/>
    <w:rsid w:val="00E86BF5"/>
    <w:pPr>
      <w:tabs>
        <w:tab w:val="center" w:pos="4680"/>
        <w:tab w:val="right" w:pos="9360"/>
      </w:tabs>
    </w:pPr>
  </w:style>
  <w:style w:type="character" w:customStyle="1" w:styleId="HeaderChar">
    <w:name w:val="Header Char"/>
    <w:basedOn w:val="DefaultParagraphFont"/>
    <w:link w:val="Header"/>
    <w:uiPriority w:val="99"/>
    <w:rsid w:val="00E86BF5"/>
  </w:style>
  <w:style w:type="paragraph" w:styleId="Footer">
    <w:name w:val="footer"/>
    <w:basedOn w:val="Normal"/>
    <w:link w:val="FooterChar"/>
    <w:uiPriority w:val="99"/>
    <w:unhideWhenUsed/>
    <w:rsid w:val="00E86BF5"/>
    <w:pPr>
      <w:tabs>
        <w:tab w:val="center" w:pos="4680"/>
        <w:tab w:val="right" w:pos="9360"/>
      </w:tabs>
    </w:pPr>
  </w:style>
  <w:style w:type="character" w:customStyle="1" w:styleId="FooterChar">
    <w:name w:val="Footer Char"/>
    <w:basedOn w:val="DefaultParagraphFont"/>
    <w:link w:val="Footer"/>
    <w:uiPriority w:val="99"/>
    <w:rsid w:val="00E86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minappsdoh35.doh.state.fl.us/ContactUs/DOHFeedback.aspx?Email=EnvironmentalHealth@doh.state.fl.us&amp;Office=BureauOfEnvironmentalHealth" TargetMode="External"/><Relationship Id="rId18" Type="http://schemas.openxmlformats.org/officeDocument/2006/relationships/hyperlink" Target="https://twitter.com/FLPoolAssoc?lang=en" TargetMode="External"/><Relationship Id="rId26" Type="http://schemas.openxmlformats.org/officeDocument/2006/relationships/image" Target="cid:image006.png@01D5EE5A.0C964660" TargetMode="External"/><Relationship Id="rId39" Type="http://schemas.openxmlformats.org/officeDocument/2006/relationships/hyperlink" Target="http://podcast.nema.org/" TargetMode="External"/><Relationship Id="rId3" Type="http://schemas.microsoft.com/office/2007/relationships/stylesWithEffects" Target="stylesWithEffects.xml"/><Relationship Id="rId21" Type="http://schemas.openxmlformats.org/officeDocument/2006/relationships/image" Target="cid:image003.gif@01D5EE5A.0C964660" TargetMode="External"/><Relationship Id="rId34" Type="http://schemas.openxmlformats.org/officeDocument/2006/relationships/image" Target="cid:image003.png@01D5E348.95F80EB0" TargetMode="External"/><Relationship Id="rId42" Type="http://schemas.openxmlformats.org/officeDocument/2006/relationships/image" Target="cid:image007.png@01D5E348.95F80EB0"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loridahealth.gov/healthy-environments/index.html" TargetMode="External"/><Relationship Id="rId17" Type="http://schemas.openxmlformats.org/officeDocument/2006/relationships/image" Target="cid:image001.gif@01D5EE5A.0C964660" TargetMode="External"/><Relationship Id="rId25" Type="http://schemas.openxmlformats.org/officeDocument/2006/relationships/image" Target="cid:image005.png@01D5EE5A.0C964660" TargetMode="External"/><Relationship Id="rId33" Type="http://schemas.openxmlformats.org/officeDocument/2006/relationships/hyperlink" Target="http://twitter.com/NEMAupdates" TargetMode="External"/><Relationship Id="rId38" Type="http://schemas.openxmlformats.org/officeDocument/2006/relationships/image" Target="cid:image005.png@01D5E348.95F80EB0"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facebook.com/FloridaSwimmingPoolAssociation?ref=hl" TargetMode="External"/><Relationship Id="rId20" Type="http://schemas.openxmlformats.org/officeDocument/2006/relationships/hyperlink" Target="https://www.linkedin.com/profile/view?id=AAIAAAgN6dsBmKzIL-w_mGUq0eJu5as8nqAlXPE&amp;trk=nav_responsive_tab_profile_pic" TargetMode="External"/><Relationship Id="rId29" Type="http://schemas.openxmlformats.org/officeDocument/2006/relationships/hyperlink" Target="http://www.APSP.org" TargetMode="External"/><Relationship Id="rId41" Type="http://schemas.openxmlformats.org/officeDocument/2006/relationships/hyperlink" Target="http://www.nema.org/linkedI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ob.Vincent@flhealth.gov" TargetMode="External"/><Relationship Id="rId24" Type="http://schemas.openxmlformats.org/officeDocument/2006/relationships/hyperlink" Target="https://instagram.com/floridapoolpro/" TargetMode="External"/><Relationship Id="rId32" Type="http://schemas.openxmlformats.org/officeDocument/2006/relationships/image" Target="cid:image002.png@01D5E348.95F80EB0" TargetMode="External"/><Relationship Id="rId37" Type="http://schemas.openxmlformats.org/officeDocument/2006/relationships/hyperlink" Target="http://www.youtube.com/NEMAvue" TargetMode="External"/><Relationship Id="rId40" Type="http://schemas.openxmlformats.org/officeDocument/2006/relationships/image" Target="cid:image006.png@01D5E348.95F80EB0"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loridapoolpro.com/" TargetMode="External"/><Relationship Id="rId23" Type="http://schemas.openxmlformats.org/officeDocument/2006/relationships/image" Target="cid:image004.png@01D5EE5A.0C964660" TargetMode="External"/><Relationship Id="rId28" Type="http://schemas.openxmlformats.org/officeDocument/2006/relationships/hyperlink" Target="mailto:jhatfield@phta.org" TargetMode="External"/><Relationship Id="rId36" Type="http://schemas.openxmlformats.org/officeDocument/2006/relationships/image" Target="cid:image004.png@01D5E348.95F80EB0" TargetMode="External"/><Relationship Id="rId49" Type="http://schemas.openxmlformats.org/officeDocument/2006/relationships/header" Target="header3.xml"/><Relationship Id="rId10" Type="http://schemas.openxmlformats.org/officeDocument/2006/relationships/image" Target="cid:image002.jpg@01D5EE6E.3D124B40" TargetMode="External"/><Relationship Id="rId19" Type="http://schemas.openxmlformats.org/officeDocument/2006/relationships/image" Target="cid:image002.gif@01D5EE5A.0C964660" TargetMode="External"/><Relationship Id="rId31" Type="http://schemas.openxmlformats.org/officeDocument/2006/relationships/hyperlink" Target="http://www.nema.org/facebook" TargetMode="External"/><Relationship Id="rId44" Type="http://schemas.openxmlformats.org/officeDocument/2006/relationships/hyperlink" Target="http://www.nema.org/Technical/FieldRep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https://www.pinterest.com/flpoolpro/" TargetMode="External"/><Relationship Id="rId27" Type="http://schemas.openxmlformats.org/officeDocument/2006/relationships/image" Target="cid:image001.jpg@01D5EE59.6F4D61E0" TargetMode="External"/><Relationship Id="rId30" Type="http://schemas.openxmlformats.org/officeDocument/2006/relationships/image" Target="cid:image001.gif@01D5E348.95F80EB0" TargetMode="External"/><Relationship Id="rId35" Type="http://schemas.openxmlformats.org/officeDocument/2006/relationships/hyperlink" Target="http://blog.nema.org/" TargetMode="External"/><Relationship Id="rId43" Type="http://schemas.openxmlformats.org/officeDocument/2006/relationships/hyperlink" Target="mailto:Bryan.Holland@NEMA.org" TargetMode="External"/><Relationship Id="rId48" Type="http://schemas.openxmlformats.org/officeDocument/2006/relationships/footer" Target="footer2.xml"/><Relationship Id="rId8" Type="http://schemas.openxmlformats.org/officeDocument/2006/relationships/hyperlink" Target="https://www.flsenate.gov/Laws/Statutes/2018/514.011"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2753</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12</cp:revision>
  <dcterms:created xsi:type="dcterms:W3CDTF">2020-03-03T16:50:00Z</dcterms:created>
  <dcterms:modified xsi:type="dcterms:W3CDTF">2020-03-30T15:19:00Z</dcterms:modified>
</cp:coreProperties>
</file>